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0647D" w14:textId="4AF447EB" w:rsidR="00EA772A" w:rsidRDefault="00EE1BBA" w:rsidP="00EA772A">
      <w:pPr>
        <w:pStyle w:val="Heading1"/>
      </w:pPr>
      <w:bookmarkStart w:id="0" w:name="_Toc511220124"/>
      <w:r w:rsidRPr="00E35191">
        <w:t xml:space="preserve">Clustered </w:t>
      </w:r>
      <w:r w:rsidR="000B179F" w:rsidRPr="00E35191">
        <w:t>Assessment G</w:t>
      </w:r>
      <w:r w:rsidR="00CA1057" w:rsidRPr="00E35191">
        <w:t>uide</w:t>
      </w:r>
      <w:r w:rsidR="009B4B1E" w:rsidRPr="00E35191">
        <w:t xml:space="preserve"> for </w:t>
      </w:r>
      <w:r w:rsidR="00C51068">
        <w:t>Design Cabinets</w:t>
      </w:r>
    </w:p>
    <w:p w14:paraId="72A1B5DE" w14:textId="6E7ADD15" w:rsidR="00EA772A" w:rsidRDefault="00EA772A" w:rsidP="00EA772A">
      <w:pPr>
        <w:pStyle w:val="Heading1"/>
      </w:pPr>
      <w:r w:rsidRPr="00FB4A6F">
        <w:t xml:space="preserve">Unit </w:t>
      </w:r>
      <w:r w:rsidRPr="00610BCF">
        <w:t>Assessment</w:t>
      </w:r>
      <w:r w:rsidRPr="00FB4A6F">
        <w:t xml:space="preserve"> Guide</w:t>
      </w:r>
    </w:p>
    <w:p w14:paraId="007CDEEA" w14:textId="5DB7E38E" w:rsidR="008351BC" w:rsidRPr="00E35191" w:rsidRDefault="008351BC" w:rsidP="00EA772A">
      <w:pPr>
        <w:pStyle w:val="Heading1"/>
      </w:pPr>
      <w:r w:rsidRPr="00E35191">
        <w:t>Criteria</w:t>
      </w:r>
    </w:p>
    <w:p w14:paraId="03AE7CF6" w14:textId="77777777" w:rsidR="008B429E" w:rsidRDefault="008B429E" w:rsidP="008B429E">
      <w:pPr>
        <w:pStyle w:val="Heading3"/>
      </w:pPr>
      <w:r w:rsidRPr="00E35191">
        <w:t>Name of the cluster</w:t>
      </w:r>
    </w:p>
    <w:p w14:paraId="57FC9E31" w14:textId="2F822AF4" w:rsidR="008B429E" w:rsidRDefault="008B429E" w:rsidP="008B429E">
      <w:pPr>
        <w:pBdr>
          <w:top w:val="single" w:sz="4" w:space="1" w:color="2D739F"/>
          <w:left w:val="single" w:sz="4" w:space="4" w:color="2D739F"/>
          <w:bottom w:val="single" w:sz="4" w:space="1" w:color="2D739F"/>
          <w:right w:val="single" w:sz="4" w:space="4" w:color="2D739F"/>
        </w:pBdr>
        <w:rPr>
          <w:sz w:val="22"/>
          <w:szCs w:val="22"/>
          <w:lang w:eastAsia="en-AU"/>
        </w:rPr>
      </w:pPr>
    </w:p>
    <w:p w14:paraId="3045B04E" w14:textId="77777777" w:rsidR="00713E92" w:rsidRDefault="00713E92" w:rsidP="00713E9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Design Cabinets</w:t>
      </w:r>
    </w:p>
    <w:p w14:paraId="58533D30" w14:textId="77777777" w:rsidR="008B429E" w:rsidRPr="00D83795" w:rsidRDefault="008B429E" w:rsidP="008B429E">
      <w:pPr>
        <w:pBdr>
          <w:top w:val="single" w:sz="4" w:space="1" w:color="2D739F"/>
          <w:left w:val="single" w:sz="4" w:space="4" w:color="2D739F"/>
          <w:bottom w:val="single" w:sz="4" w:space="1" w:color="2D739F"/>
          <w:right w:val="single" w:sz="4" w:space="4" w:color="2D739F"/>
        </w:pBdr>
        <w:rPr>
          <w:sz w:val="22"/>
          <w:szCs w:val="22"/>
          <w:lang w:eastAsia="en-AU"/>
        </w:rPr>
      </w:pPr>
    </w:p>
    <w:p w14:paraId="00A1EA01" w14:textId="77777777" w:rsidR="008351BC" w:rsidRDefault="008351BC" w:rsidP="008351BC">
      <w:pPr>
        <w:pStyle w:val="Heading3"/>
      </w:pPr>
      <w:r w:rsidRPr="00A41E27">
        <w:t>Qualification</w:t>
      </w:r>
      <w:r>
        <w:t>/Course</w:t>
      </w:r>
      <w:r w:rsidRPr="00A41E27">
        <w:t xml:space="preserve"> code, name and release number</w:t>
      </w:r>
    </w:p>
    <w:p w14:paraId="73E57050" w14:textId="36508C9D" w:rsidR="008351BC" w:rsidRDefault="008351BC"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5B7BBC7" w14:textId="082ACD0D" w:rsidR="00713E92" w:rsidRDefault="00713E92" w:rsidP="00713E92">
      <w:pPr>
        <w:pBdr>
          <w:top w:val="single" w:sz="4" w:space="1" w:color="2D739F"/>
          <w:left w:val="single" w:sz="4" w:space="4" w:color="2D739F"/>
          <w:bottom w:val="single" w:sz="4" w:space="1" w:color="2D739F"/>
          <w:right w:val="single" w:sz="4" w:space="4" w:color="2D739F"/>
        </w:pBdr>
        <w:spacing w:before="0" w:after="0" w:line="23" w:lineRule="atLeast"/>
        <w:rPr>
          <w:szCs w:val="24"/>
          <w:lang w:eastAsia="en-AU"/>
        </w:rPr>
      </w:pPr>
      <w:r w:rsidRPr="00DB157B">
        <w:rPr>
          <w:szCs w:val="24"/>
          <w:lang w:eastAsia="en-AU"/>
        </w:rPr>
        <w:t>MSF40318</w:t>
      </w:r>
      <w:r w:rsidR="00E07142">
        <w:rPr>
          <w:szCs w:val="24"/>
          <w:lang w:eastAsia="en-AU"/>
        </w:rPr>
        <w:t xml:space="preserve"> -</w:t>
      </w:r>
      <w:r w:rsidRPr="00DB157B">
        <w:rPr>
          <w:szCs w:val="24"/>
          <w:lang w:eastAsia="en-AU"/>
        </w:rPr>
        <w:t xml:space="preserve"> Certificate IV in Kitchen and Bathroom Design (1)</w:t>
      </w:r>
    </w:p>
    <w:p w14:paraId="4B2F3DD9" w14:textId="77777777" w:rsidR="00713E92" w:rsidRPr="00D83795" w:rsidRDefault="00713E9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1805607" w14:textId="77777777" w:rsidR="008351BC" w:rsidRDefault="008351BC" w:rsidP="008351BC">
      <w:pPr>
        <w:pStyle w:val="Heading3"/>
      </w:pPr>
      <w:r w:rsidRPr="007A6B4A">
        <w:t>Unit code, name and release number</w:t>
      </w:r>
    </w:p>
    <w:p w14:paraId="67B2D38B" w14:textId="14C882C3" w:rsidR="008351BC" w:rsidRDefault="008351BC" w:rsidP="008351BC">
      <w:pPr>
        <w:pBdr>
          <w:top w:val="single" w:sz="4" w:space="1" w:color="2D739F"/>
          <w:left w:val="single" w:sz="4" w:space="4" w:color="2D739F"/>
          <w:bottom w:val="single" w:sz="4" w:space="1" w:color="2D739F"/>
          <w:right w:val="single" w:sz="4" w:space="4" w:color="2D739F"/>
        </w:pBdr>
        <w:rPr>
          <w:color w:val="FF0000"/>
          <w:sz w:val="22"/>
          <w:szCs w:val="22"/>
          <w:lang w:eastAsia="en-AU"/>
        </w:rPr>
      </w:pPr>
    </w:p>
    <w:p w14:paraId="448956C3" w14:textId="77777777" w:rsidR="00713E92" w:rsidRPr="00DB157B" w:rsidRDefault="00713E92" w:rsidP="00713E92">
      <w:pPr>
        <w:pBdr>
          <w:top w:val="single" w:sz="4" w:space="1" w:color="2D739F"/>
          <w:left w:val="single" w:sz="4" w:space="4" w:color="2D739F"/>
          <w:bottom w:val="single" w:sz="4" w:space="1" w:color="2D739F"/>
          <w:right w:val="single" w:sz="4" w:space="4" w:color="2D739F"/>
        </w:pBdr>
        <w:rPr>
          <w:szCs w:val="24"/>
          <w:lang w:eastAsia="en-AU"/>
        </w:rPr>
      </w:pPr>
      <w:r w:rsidRPr="00DB157B">
        <w:rPr>
          <w:szCs w:val="24"/>
          <w:lang w:eastAsia="en-AU"/>
        </w:rPr>
        <w:t>MSFKB3010 - Detail cabinet construction requirements (1)</w:t>
      </w:r>
    </w:p>
    <w:p w14:paraId="63D25360" w14:textId="77777777" w:rsidR="00713E92" w:rsidRDefault="00713E92" w:rsidP="00713E92">
      <w:pPr>
        <w:pBdr>
          <w:top w:val="single" w:sz="4" w:space="1" w:color="2D739F"/>
          <w:left w:val="single" w:sz="4" w:space="4" w:color="2D739F"/>
          <w:bottom w:val="single" w:sz="4" w:space="1" w:color="2D739F"/>
          <w:right w:val="single" w:sz="4" w:space="4" w:color="2D739F"/>
        </w:pBdr>
        <w:rPr>
          <w:szCs w:val="24"/>
          <w:lang w:eastAsia="en-AU"/>
        </w:rPr>
      </w:pPr>
      <w:r w:rsidRPr="00DB157B">
        <w:rPr>
          <w:szCs w:val="24"/>
          <w:lang w:eastAsia="en-AU"/>
        </w:rPr>
        <w:t>MSFKB4011 - Design ancillary residential cabinetry (1)</w:t>
      </w:r>
    </w:p>
    <w:p w14:paraId="6B4D2B55" w14:textId="77777777" w:rsidR="00713E92" w:rsidRPr="00D83795" w:rsidRDefault="00713E9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743C3EA0" w14:textId="77777777" w:rsidR="00DB75CF" w:rsidRDefault="00DB75CF" w:rsidP="004E7517">
      <w:pPr>
        <w:pStyle w:val="Body"/>
      </w:pPr>
    </w:p>
    <w:p w14:paraId="6D04EB04" w14:textId="77777777" w:rsidR="00DB75CF" w:rsidRDefault="00DB75CF" w:rsidP="004E7517">
      <w:pPr>
        <w:pStyle w:val="Body"/>
      </w:pPr>
    </w:p>
    <w:p w14:paraId="5DA14867" w14:textId="77777777" w:rsidR="00DB75CF" w:rsidRDefault="00DB75CF" w:rsidP="004E7517">
      <w:pPr>
        <w:pStyle w:val="Body"/>
      </w:pPr>
    </w:p>
    <w:p w14:paraId="3FEA2322" w14:textId="77777777" w:rsidR="00DB75CF" w:rsidRDefault="00DB75CF" w:rsidP="004E7517">
      <w:pPr>
        <w:pStyle w:val="Body"/>
      </w:pPr>
    </w:p>
    <w:p w14:paraId="0285E35A" w14:textId="77777777" w:rsidR="00DB75CF" w:rsidRDefault="00DB75CF" w:rsidP="004E7517">
      <w:pPr>
        <w:pStyle w:val="Body"/>
      </w:pPr>
    </w:p>
    <w:p w14:paraId="595E9AD6" w14:textId="77777777" w:rsidR="00DB75CF" w:rsidRDefault="00DB75CF" w:rsidP="004E7517">
      <w:pPr>
        <w:pStyle w:val="Body"/>
      </w:pPr>
    </w:p>
    <w:p w14:paraId="0E18B526" w14:textId="77777777" w:rsidR="00DB75CF" w:rsidRDefault="00DB75CF" w:rsidP="004E7517">
      <w:pPr>
        <w:pStyle w:val="Body"/>
      </w:pPr>
    </w:p>
    <w:p w14:paraId="36713C60" w14:textId="77777777" w:rsidR="00DB75CF" w:rsidRDefault="00DB75CF" w:rsidP="004E7517">
      <w:pPr>
        <w:pStyle w:val="Body"/>
      </w:pPr>
    </w:p>
    <w:p w14:paraId="44D81252" w14:textId="77777777" w:rsidR="00DB75CF" w:rsidRDefault="00DB75CF" w:rsidP="004E7517">
      <w:pPr>
        <w:pStyle w:val="Body"/>
      </w:pPr>
    </w:p>
    <w:p w14:paraId="7FBC1FE9" w14:textId="77777777" w:rsidR="00DB75CF" w:rsidRDefault="00DB75CF" w:rsidP="004E7517">
      <w:pPr>
        <w:pStyle w:val="Body"/>
      </w:pPr>
    </w:p>
    <w:p w14:paraId="7006DACB" w14:textId="77777777" w:rsidR="00DB75CF" w:rsidRDefault="00DB75CF" w:rsidP="004E7517">
      <w:pPr>
        <w:pStyle w:val="Body"/>
      </w:pPr>
    </w:p>
    <w:p w14:paraId="4DDBF470" w14:textId="70F6CC79" w:rsidR="00CA1057" w:rsidRDefault="00610BCF" w:rsidP="00610BCF">
      <w:pPr>
        <w:pStyle w:val="Heading2"/>
      </w:pPr>
      <w:r>
        <w:t>Unit details</w:t>
      </w:r>
    </w:p>
    <w:p w14:paraId="714E4014" w14:textId="657DE93A" w:rsidR="00610BCF" w:rsidRDefault="00610BCF" w:rsidP="00610BCF">
      <w:pPr>
        <w:pStyle w:val="Caption"/>
        <w:keepNext/>
      </w:pPr>
      <w:r>
        <w:t xml:space="preserve">Table </w:t>
      </w:r>
      <w:r w:rsidR="00D13767">
        <w:rPr>
          <w:noProof/>
        </w:rPr>
        <w:fldChar w:fldCharType="begin"/>
      </w:r>
      <w:r w:rsidR="00D13767">
        <w:rPr>
          <w:noProof/>
        </w:rPr>
        <w:instrText xml:space="preserve"> SEQ Table \* ARABIC </w:instrText>
      </w:r>
      <w:r w:rsidR="00D13767">
        <w:rPr>
          <w:noProof/>
        </w:rPr>
        <w:fldChar w:fldCharType="separate"/>
      </w:r>
      <w:r w:rsidR="00FB5613">
        <w:rPr>
          <w:noProof/>
        </w:rPr>
        <w:t>1</w:t>
      </w:r>
      <w:r w:rsidR="00D13767">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CA1057" w14:paraId="66D39C8D" w14:textId="77777777" w:rsidTr="00457D20">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A3D3DD7" w14:textId="611ED979" w:rsidR="00CA1057" w:rsidRDefault="00610BCF" w:rsidP="00610BCF">
            <w:pPr>
              <w:rPr>
                <w:lang w:eastAsia="en-AU"/>
              </w:rPr>
            </w:pPr>
            <w:r>
              <w:rPr>
                <w:lang w:eastAsia="en-AU"/>
              </w:rPr>
              <w:t>Section</w:t>
            </w:r>
          </w:p>
        </w:tc>
        <w:tc>
          <w:tcPr>
            <w:tcW w:w="3907" w:type="pct"/>
            <w:vAlign w:val="top"/>
          </w:tcPr>
          <w:p w14:paraId="6A7A09B7" w14:textId="6FE57FE6" w:rsidR="00CA1057" w:rsidRDefault="00610BCF" w:rsidP="00610BCF">
            <w:pPr>
              <w:rPr>
                <w:lang w:eastAsia="en-AU"/>
              </w:rPr>
            </w:pPr>
            <w:r>
              <w:rPr>
                <w:lang w:eastAsia="en-AU"/>
              </w:rPr>
              <w:t>Description</w:t>
            </w:r>
          </w:p>
        </w:tc>
      </w:tr>
      <w:tr w:rsidR="00CA1057" w14:paraId="404D12D7" w14:textId="77777777" w:rsidTr="00457D20">
        <w:tc>
          <w:tcPr>
            <w:tcW w:w="1093" w:type="pct"/>
            <w:vAlign w:val="top"/>
          </w:tcPr>
          <w:p w14:paraId="538184E4" w14:textId="30E868C1" w:rsidR="00CA1057" w:rsidRPr="009B4B1E" w:rsidRDefault="00F44CAE" w:rsidP="009B4B1E">
            <w:pPr>
              <w:rPr>
                <w:sz w:val="22"/>
                <w:szCs w:val="22"/>
                <w:lang w:eastAsia="en-AU"/>
              </w:rPr>
            </w:pPr>
            <w:r w:rsidRPr="007A6B4A">
              <w:rPr>
                <w:b/>
                <w:sz w:val="22"/>
                <w:szCs w:val="22"/>
                <w:lang w:eastAsia="en-AU"/>
              </w:rPr>
              <w:t>Unit description</w:t>
            </w:r>
          </w:p>
        </w:tc>
        <w:tc>
          <w:tcPr>
            <w:tcW w:w="3907" w:type="pct"/>
            <w:vAlign w:val="top"/>
          </w:tcPr>
          <w:p w14:paraId="6965E794" w14:textId="343E0A18" w:rsidR="00FB5613" w:rsidRPr="00DB75CF" w:rsidRDefault="00FB5613" w:rsidP="00FB5613">
            <w:pPr>
              <w:rPr>
                <w:sz w:val="22"/>
                <w:szCs w:val="22"/>
                <w:lang w:eastAsia="en-AU"/>
              </w:rPr>
            </w:pPr>
            <w:r w:rsidRPr="00DB75CF">
              <w:rPr>
                <w:sz w:val="22"/>
                <w:szCs w:val="22"/>
                <w:lang w:eastAsia="en-AU"/>
              </w:rPr>
              <w:t xml:space="preserve">MSFKB3010 - Detail cabinet construction requirements (1) </w:t>
            </w:r>
          </w:p>
          <w:p w14:paraId="459FA75A" w14:textId="77777777" w:rsidR="00DB75CF" w:rsidRPr="00DB75CF" w:rsidRDefault="00DB75CF" w:rsidP="00DB75CF">
            <w:pPr>
              <w:rPr>
                <w:sz w:val="22"/>
                <w:szCs w:val="22"/>
                <w:lang w:eastAsia="en-AU"/>
              </w:rPr>
            </w:pPr>
            <w:r w:rsidRPr="00DB75CF">
              <w:rPr>
                <w:sz w:val="22"/>
                <w:szCs w:val="22"/>
                <w:lang w:eastAsia="en-AU"/>
              </w:rPr>
              <w:t xml:space="preserve">This unit describes the skills and knowledge to provide detailed specifications and design drawings for cabinetry commonly used in kitchens, bathrooms and laundries.  </w:t>
            </w:r>
          </w:p>
          <w:p w14:paraId="18E4123F" w14:textId="77777777" w:rsidR="00DB75CF" w:rsidRPr="00DB75CF" w:rsidRDefault="00DB75CF" w:rsidP="00DB75CF">
            <w:pPr>
              <w:rPr>
                <w:sz w:val="22"/>
                <w:szCs w:val="22"/>
                <w:lang w:eastAsia="en-AU"/>
              </w:rPr>
            </w:pPr>
            <w:r w:rsidRPr="00DB75CF">
              <w:rPr>
                <w:sz w:val="22"/>
                <w:szCs w:val="22"/>
                <w:lang w:eastAsia="en-AU"/>
              </w:rPr>
              <w:t>This unit applies to kitchen and bathroom designers.</w:t>
            </w:r>
          </w:p>
          <w:p w14:paraId="009CB99B" w14:textId="77777777" w:rsidR="00DB75CF" w:rsidRPr="00DB75CF" w:rsidRDefault="00DB75CF" w:rsidP="00DB75CF">
            <w:pPr>
              <w:rPr>
                <w:sz w:val="22"/>
                <w:szCs w:val="22"/>
                <w:lang w:eastAsia="en-AU"/>
              </w:rPr>
            </w:pPr>
            <w:r w:rsidRPr="00DB75CF">
              <w:rPr>
                <w:sz w:val="22"/>
                <w:szCs w:val="22"/>
                <w:lang w:eastAsia="en-AU"/>
              </w:rPr>
              <w:t>No licensing or certification requirements exist at the time of publication. Relevant legislation, industry standards and codes of practice within Australia must be applied.</w:t>
            </w:r>
          </w:p>
          <w:p w14:paraId="4B160BDE" w14:textId="77777777" w:rsidR="00FB5613" w:rsidRPr="00FB5613" w:rsidRDefault="00FB5613" w:rsidP="00FB5613">
            <w:pPr>
              <w:rPr>
                <w:i/>
                <w:color w:val="808080" w:themeColor="background1" w:themeShade="80"/>
                <w:sz w:val="22"/>
                <w:szCs w:val="22"/>
                <w:lang w:eastAsia="en-AU"/>
              </w:rPr>
            </w:pPr>
          </w:p>
          <w:p w14:paraId="0572026B" w14:textId="432FCABD" w:rsidR="00FB5613" w:rsidRPr="00DB75CF" w:rsidRDefault="00FB5613" w:rsidP="00FB5613">
            <w:pPr>
              <w:rPr>
                <w:sz w:val="22"/>
                <w:szCs w:val="22"/>
                <w:lang w:eastAsia="en-AU"/>
              </w:rPr>
            </w:pPr>
            <w:r w:rsidRPr="00DB75CF">
              <w:rPr>
                <w:sz w:val="22"/>
                <w:szCs w:val="22"/>
                <w:lang w:eastAsia="en-AU"/>
              </w:rPr>
              <w:t xml:space="preserve">MSFKB4011 - Design ancillary residential cabinetry (1)  </w:t>
            </w:r>
          </w:p>
          <w:p w14:paraId="012C87E6" w14:textId="77777777" w:rsidR="00FB5613" w:rsidRPr="00F3590F" w:rsidRDefault="00FB5613" w:rsidP="00F3590F">
            <w:pPr>
              <w:rPr>
                <w:sz w:val="22"/>
                <w:szCs w:val="22"/>
                <w:lang w:eastAsia="en-AU"/>
              </w:rPr>
            </w:pPr>
            <w:r w:rsidRPr="00F3590F">
              <w:rPr>
                <w:sz w:val="22"/>
                <w:szCs w:val="22"/>
                <w:lang w:eastAsia="en-AU"/>
              </w:rPr>
              <w:t>This unit describes the skills and knowledge required to determine cabinetry requirements, develop custom design options and specify requirements to inform production and installation. Ancillary cabinetry is cabinetry outside of kitchen, bathroom and laundry applications.</w:t>
            </w:r>
          </w:p>
          <w:p w14:paraId="24663DD3" w14:textId="77777777" w:rsidR="00FB5613" w:rsidRPr="00F3590F" w:rsidRDefault="00FB5613" w:rsidP="00F3590F">
            <w:pPr>
              <w:rPr>
                <w:sz w:val="22"/>
                <w:szCs w:val="22"/>
                <w:lang w:eastAsia="en-AU"/>
              </w:rPr>
            </w:pPr>
            <w:r w:rsidRPr="00F3590F">
              <w:rPr>
                <w:sz w:val="22"/>
                <w:szCs w:val="22"/>
                <w:lang w:eastAsia="en-AU"/>
              </w:rPr>
              <w:t>This unit applies to interior designers, including kitchen and bathroom designers. They analyse varied information to develop design solutions.</w:t>
            </w:r>
          </w:p>
          <w:p w14:paraId="015E9522" w14:textId="77777777" w:rsidR="00FB5613" w:rsidRPr="00F3590F" w:rsidRDefault="00FB5613" w:rsidP="00F3590F">
            <w:pPr>
              <w:rPr>
                <w:sz w:val="22"/>
                <w:szCs w:val="22"/>
                <w:lang w:eastAsia="en-AU"/>
              </w:rPr>
            </w:pPr>
            <w:r w:rsidRPr="00F3590F">
              <w:rPr>
                <w:sz w:val="22"/>
                <w:szCs w:val="22"/>
                <w:lang w:eastAsia="en-AU"/>
              </w:rPr>
              <w:t>Licensing, legislative or certification requirements may apply to this unit and relevant state/territory and local government agencies should be consulted to determine any necessary certification or licensing for undertaking kitchen and bathroom work. Access to construction sites requires certification of general induction training specified by the National Code of Practice for Induction for Construction Work (ASCC 2007).</w:t>
            </w:r>
          </w:p>
          <w:p w14:paraId="3F459160" w14:textId="2AA0799B" w:rsidR="00EE1BBA" w:rsidRPr="00E35191" w:rsidRDefault="00EE1BBA" w:rsidP="00721254">
            <w:pPr>
              <w:rPr>
                <w:sz w:val="22"/>
                <w:szCs w:val="22"/>
                <w:lang w:eastAsia="en-AU"/>
              </w:rPr>
            </w:pPr>
          </w:p>
        </w:tc>
      </w:tr>
      <w:tr w:rsidR="00CA1057" w:rsidRPr="007A6B4A" w14:paraId="65ECE6C7" w14:textId="77777777" w:rsidTr="00457D20">
        <w:tc>
          <w:tcPr>
            <w:tcW w:w="1093" w:type="pct"/>
            <w:vAlign w:val="top"/>
          </w:tcPr>
          <w:p w14:paraId="3EBE50C3" w14:textId="2B20427E" w:rsidR="00CA1057" w:rsidRPr="009B4B1E" w:rsidRDefault="00F44CAE" w:rsidP="009B4B1E">
            <w:pPr>
              <w:rPr>
                <w:sz w:val="22"/>
                <w:szCs w:val="22"/>
                <w:lang w:eastAsia="en-AU"/>
              </w:rPr>
            </w:pPr>
            <w:r w:rsidRPr="007A6B4A">
              <w:rPr>
                <w:b/>
                <w:sz w:val="22"/>
                <w:szCs w:val="22"/>
                <w:lang w:eastAsia="en-AU"/>
              </w:rPr>
              <w:t>Pre-requisites</w:t>
            </w:r>
          </w:p>
        </w:tc>
        <w:tc>
          <w:tcPr>
            <w:tcW w:w="3907" w:type="pct"/>
            <w:vAlign w:val="top"/>
          </w:tcPr>
          <w:p w14:paraId="3DE524BE" w14:textId="55327E15" w:rsidR="00FB5613" w:rsidRPr="00FB5613" w:rsidRDefault="00FB5613" w:rsidP="00FB5613">
            <w:pPr>
              <w:rPr>
                <w:sz w:val="22"/>
                <w:szCs w:val="22"/>
                <w:lang w:eastAsia="en-AU"/>
              </w:rPr>
            </w:pPr>
            <w:r w:rsidRPr="00FB5613">
              <w:rPr>
                <w:sz w:val="22"/>
                <w:szCs w:val="22"/>
                <w:lang w:eastAsia="en-AU"/>
              </w:rPr>
              <w:t>MSFKB3010 - Detail cabinet construction requirements (1)</w:t>
            </w:r>
            <w:r>
              <w:rPr>
                <w:sz w:val="22"/>
                <w:szCs w:val="22"/>
                <w:lang w:eastAsia="en-AU"/>
              </w:rPr>
              <w:t xml:space="preserve"> = N/A</w:t>
            </w:r>
          </w:p>
          <w:p w14:paraId="69153043" w14:textId="312536B2" w:rsidR="00FB5613" w:rsidRPr="00FB5613" w:rsidRDefault="00FB5613" w:rsidP="00FB5613">
            <w:pPr>
              <w:rPr>
                <w:sz w:val="22"/>
                <w:szCs w:val="22"/>
                <w:lang w:eastAsia="en-AU"/>
              </w:rPr>
            </w:pPr>
            <w:r w:rsidRPr="00FB5613">
              <w:rPr>
                <w:sz w:val="22"/>
                <w:szCs w:val="22"/>
                <w:lang w:eastAsia="en-AU"/>
              </w:rPr>
              <w:t>MSFKB4011 - Design ancillary residential cabinetry (1)</w:t>
            </w:r>
            <w:r>
              <w:rPr>
                <w:sz w:val="22"/>
                <w:szCs w:val="22"/>
                <w:lang w:eastAsia="en-AU"/>
              </w:rPr>
              <w:t xml:space="preserve"> = N/A</w:t>
            </w:r>
          </w:p>
          <w:p w14:paraId="2C1C698D" w14:textId="014B3962" w:rsidR="00CA1057" w:rsidRPr="00FB5613" w:rsidRDefault="00CA1057" w:rsidP="00721254">
            <w:pPr>
              <w:rPr>
                <w:sz w:val="22"/>
                <w:szCs w:val="22"/>
                <w:lang w:eastAsia="en-AU"/>
              </w:rPr>
            </w:pPr>
          </w:p>
        </w:tc>
      </w:tr>
      <w:tr w:rsidR="00CA1057" w14:paraId="651C7842" w14:textId="77777777" w:rsidTr="00457D20">
        <w:tc>
          <w:tcPr>
            <w:tcW w:w="1093" w:type="pct"/>
            <w:vAlign w:val="top"/>
          </w:tcPr>
          <w:p w14:paraId="452B76E1" w14:textId="4B54D744" w:rsidR="009B4B1E" w:rsidRPr="009B4B1E" w:rsidRDefault="00F44CAE" w:rsidP="009B4B1E">
            <w:pPr>
              <w:rPr>
                <w:sz w:val="22"/>
                <w:szCs w:val="22"/>
                <w:lang w:eastAsia="en-AU"/>
              </w:rPr>
            </w:pPr>
            <w:r w:rsidRPr="007A6B4A">
              <w:rPr>
                <w:b/>
                <w:sz w:val="22"/>
                <w:szCs w:val="22"/>
                <w:lang w:eastAsia="en-AU"/>
              </w:rPr>
              <w:lastRenderedPageBreak/>
              <w:t>Learning outcomes</w:t>
            </w:r>
          </w:p>
          <w:p w14:paraId="535B77BD" w14:textId="77777777" w:rsidR="009B4B1E" w:rsidRPr="009B4B1E" w:rsidRDefault="009B4B1E" w:rsidP="009B4B1E">
            <w:pPr>
              <w:rPr>
                <w:sz w:val="22"/>
                <w:szCs w:val="22"/>
                <w:lang w:eastAsia="en-AU"/>
              </w:rPr>
            </w:pPr>
          </w:p>
          <w:p w14:paraId="5A8A312D" w14:textId="77777777" w:rsidR="009B4B1E" w:rsidRPr="009B4B1E" w:rsidRDefault="009B4B1E" w:rsidP="009B4B1E">
            <w:pPr>
              <w:rPr>
                <w:sz w:val="22"/>
                <w:szCs w:val="22"/>
                <w:lang w:eastAsia="en-AU"/>
              </w:rPr>
            </w:pPr>
          </w:p>
          <w:p w14:paraId="4B586BC1" w14:textId="770D768F" w:rsidR="00CA1057" w:rsidRPr="009B4B1E" w:rsidRDefault="00CA1057" w:rsidP="009B4B1E">
            <w:pPr>
              <w:rPr>
                <w:sz w:val="22"/>
                <w:szCs w:val="22"/>
                <w:lang w:eastAsia="en-AU"/>
              </w:rPr>
            </w:pPr>
          </w:p>
        </w:tc>
        <w:tc>
          <w:tcPr>
            <w:tcW w:w="3907" w:type="pct"/>
            <w:vAlign w:val="top"/>
          </w:tcPr>
          <w:p w14:paraId="3E01213A" w14:textId="6FFC40D8" w:rsidR="00CA1057" w:rsidRPr="00E35191" w:rsidRDefault="00EE1BBA" w:rsidP="00610BCF">
            <w:pPr>
              <w:rPr>
                <w:sz w:val="22"/>
                <w:szCs w:val="22"/>
                <w:lang w:eastAsia="en-AU"/>
              </w:rPr>
            </w:pPr>
            <w:r w:rsidRPr="00E35191">
              <w:rPr>
                <w:sz w:val="22"/>
                <w:szCs w:val="22"/>
                <w:lang w:eastAsia="en-AU"/>
              </w:rPr>
              <w:t xml:space="preserve">For each of the </w:t>
            </w:r>
            <w:r w:rsidR="00F44CAE" w:rsidRPr="00E35191">
              <w:rPr>
                <w:sz w:val="22"/>
                <w:szCs w:val="22"/>
                <w:lang w:eastAsia="en-AU"/>
              </w:rPr>
              <w:t>unit</w:t>
            </w:r>
            <w:r w:rsidRPr="00E35191">
              <w:rPr>
                <w:sz w:val="22"/>
                <w:szCs w:val="22"/>
                <w:lang w:eastAsia="en-AU"/>
              </w:rPr>
              <w:t>s listed</w:t>
            </w:r>
            <w:r w:rsidR="00F44CAE" w:rsidRPr="00E35191">
              <w:rPr>
                <w:sz w:val="22"/>
                <w:szCs w:val="22"/>
                <w:lang w:eastAsia="en-AU"/>
              </w:rPr>
              <w:t xml:space="preserve">, you will </w:t>
            </w:r>
            <w:r w:rsidR="00BA116A" w:rsidRPr="00E35191">
              <w:rPr>
                <w:sz w:val="22"/>
                <w:szCs w:val="22"/>
                <w:lang w:eastAsia="en-AU"/>
              </w:rPr>
              <w:t>gain the knowledge and skills to:</w:t>
            </w:r>
          </w:p>
          <w:p w14:paraId="7797ED8C" w14:textId="0EFE8269" w:rsidR="00EE1BBA" w:rsidRPr="0026377F" w:rsidRDefault="00EE1BBA" w:rsidP="00610BCF">
            <w:pPr>
              <w:rPr>
                <w:sz w:val="22"/>
                <w:szCs w:val="22"/>
                <w:lang w:eastAsia="en-AU"/>
              </w:rPr>
            </w:pPr>
            <w:r w:rsidRPr="0026377F">
              <w:rPr>
                <w:sz w:val="22"/>
                <w:szCs w:val="22"/>
                <w:lang w:eastAsia="en-AU"/>
              </w:rPr>
              <w:t xml:space="preserve">Unit 1:  </w:t>
            </w:r>
            <w:r w:rsidR="00713E92" w:rsidRPr="0026377F">
              <w:rPr>
                <w:sz w:val="22"/>
                <w:szCs w:val="22"/>
              </w:rPr>
              <w:t>MSFKB3010 - Detail cabinet construction requirements (1)</w:t>
            </w:r>
          </w:p>
          <w:p w14:paraId="7A4A43D0" w14:textId="488212DA" w:rsidR="00DB75CF" w:rsidRPr="0026377F" w:rsidRDefault="00DB75CF" w:rsidP="0026377F">
            <w:pPr>
              <w:pStyle w:val="Body"/>
              <w:spacing w:line="240" w:lineRule="auto"/>
              <w:ind w:left="174"/>
              <w:rPr>
                <w:sz w:val="22"/>
                <w:szCs w:val="22"/>
                <w:lang w:eastAsia="en-AU"/>
              </w:rPr>
            </w:pPr>
            <w:r w:rsidRPr="0026377F">
              <w:rPr>
                <w:sz w:val="22"/>
                <w:szCs w:val="22"/>
                <w:lang w:eastAsia="en-AU"/>
              </w:rPr>
              <w:t>1. Establish cabinet design requirements</w:t>
            </w:r>
          </w:p>
          <w:p w14:paraId="411A0106" w14:textId="55E089B1" w:rsidR="00DB75CF" w:rsidRPr="0026377F" w:rsidRDefault="00DB75CF" w:rsidP="0026377F">
            <w:pPr>
              <w:pStyle w:val="Body"/>
              <w:spacing w:line="240" w:lineRule="auto"/>
              <w:ind w:left="174"/>
              <w:rPr>
                <w:sz w:val="22"/>
                <w:szCs w:val="22"/>
                <w:lang w:eastAsia="en-AU"/>
              </w:rPr>
            </w:pPr>
            <w:r w:rsidRPr="0026377F">
              <w:rPr>
                <w:sz w:val="22"/>
                <w:szCs w:val="22"/>
                <w:lang w:eastAsia="en-AU"/>
              </w:rPr>
              <w:t>2. Design cabinet</w:t>
            </w:r>
          </w:p>
          <w:p w14:paraId="220F2F08" w14:textId="7F6424D2" w:rsidR="00DB75CF" w:rsidRPr="0026377F" w:rsidRDefault="00DB75CF" w:rsidP="0026377F">
            <w:pPr>
              <w:pStyle w:val="Body"/>
              <w:spacing w:line="240" w:lineRule="auto"/>
              <w:ind w:left="174"/>
              <w:rPr>
                <w:sz w:val="22"/>
                <w:szCs w:val="22"/>
                <w:lang w:eastAsia="en-AU"/>
              </w:rPr>
            </w:pPr>
            <w:r w:rsidRPr="0026377F">
              <w:rPr>
                <w:sz w:val="22"/>
                <w:szCs w:val="22"/>
                <w:lang w:eastAsia="en-AU"/>
              </w:rPr>
              <w:t>3. Produce construction documentation</w:t>
            </w:r>
          </w:p>
          <w:p w14:paraId="7B84474A" w14:textId="398D3C2C" w:rsidR="00EE1BBA" w:rsidRPr="0026377F" w:rsidRDefault="00EE1BBA" w:rsidP="00F3590F">
            <w:pPr>
              <w:pStyle w:val="Body"/>
              <w:rPr>
                <w:sz w:val="22"/>
                <w:szCs w:val="22"/>
              </w:rPr>
            </w:pPr>
            <w:r w:rsidRPr="0026377F">
              <w:rPr>
                <w:sz w:val="22"/>
                <w:szCs w:val="22"/>
                <w:lang w:eastAsia="en-AU"/>
              </w:rPr>
              <w:t xml:space="preserve">Unit 2:   </w:t>
            </w:r>
            <w:r w:rsidR="00713E92" w:rsidRPr="0026377F">
              <w:rPr>
                <w:sz w:val="22"/>
                <w:szCs w:val="22"/>
              </w:rPr>
              <w:t>MSFKB4011 - Design ancillary residential cabinetry (1)</w:t>
            </w:r>
          </w:p>
          <w:p w14:paraId="1CAFDCEB" w14:textId="1BF9CD0D" w:rsidR="00EE1BBA" w:rsidRPr="0026377F" w:rsidRDefault="00DB75CF" w:rsidP="00F3590F">
            <w:pPr>
              <w:pStyle w:val="Body"/>
              <w:numPr>
                <w:ilvl w:val="0"/>
                <w:numId w:val="38"/>
              </w:numPr>
              <w:spacing w:line="240" w:lineRule="auto"/>
              <w:rPr>
                <w:sz w:val="22"/>
                <w:szCs w:val="22"/>
                <w:lang w:eastAsia="en-AU"/>
              </w:rPr>
            </w:pPr>
            <w:r w:rsidRPr="0026377F">
              <w:rPr>
                <w:sz w:val="22"/>
                <w:szCs w:val="22"/>
                <w:lang w:eastAsia="en-AU"/>
              </w:rPr>
              <w:t>Determine project requirements</w:t>
            </w:r>
            <w:r w:rsidRPr="00F3590F">
              <w:rPr>
                <w:sz w:val="22"/>
                <w:szCs w:val="22"/>
                <w:lang w:eastAsia="en-AU"/>
              </w:rPr>
              <w:t xml:space="preserve"> </w:t>
            </w:r>
          </w:p>
          <w:p w14:paraId="2C439BE8" w14:textId="1A650228" w:rsidR="00DB75CF" w:rsidRPr="0026377F" w:rsidRDefault="00DB75CF" w:rsidP="00F3590F">
            <w:pPr>
              <w:pStyle w:val="Body"/>
              <w:numPr>
                <w:ilvl w:val="0"/>
                <w:numId w:val="38"/>
              </w:numPr>
              <w:spacing w:line="240" w:lineRule="auto"/>
              <w:rPr>
                <w:sz w:val="22"/>
                <w:szCs w:val="22"/>
                <w:lang w:eastAsia="en-AU"/>
              </w:rPr>
            </w:pPr>
            <w:r w:rsidRPr="0026377F">
              <w:rPr>
                <w:sz w:val="22"/>
                <w:szCs w:val="22"/>
                <w:lang w:eastAsia="en-AU"/>
              </w:rPr>
              <w:t>Develop design options</w:t>
            </w:r>
          </w:p>
          <w:p w14:paraId="40ECDFCF" w14:textId="03C8FBA0" w:rsidR="00DB75CF" w:rsidRPr="0026377F" w:rsidRDefault="00DB75CF" w:rsidP="00F3590F">
            <w:pPr>
              <w:pStyle w:val="Body"/>
              <w:numPr>
                <w:ilvl w:val="0"/>
                <w:numId w:val="38"/>
              </w:numPr>
              <w:spacing w:line="240" w:lineRule="auto"/>
              <w:rPr>
                <w:sz w:val="22"/>
                <w:szCs w:val="22"/>
                <w:lang w:eastAsia="en-AU"/>
              </w:rPr>
            </w:pPr>
            <w:r w:rsidRPr="0026377F">
              <w:rPr>
                <w:sz w:val="22"/>
                <w:szCs w:val="22"/>
                <w:lang w:eastAsia="en-AU"/>
              </w:rPr>
              <w:t>Develop design specifications</w:t>
            </w:r>
          </w:p>
          <w:p w14:paraId="2A6CEC5B" w14:textId="77777777" w:rsidR="00DB75CF" w:rsidRDefault="00696B59" w:rsidP="00DB75CF">
            <w:pPr>
              <w:rPr>
                <w:sz w:val="22"/>
                <w:szCs w:val="22"/>
                <w:lang w:eastAsia="en-AU"/>
              </w:rPr>
            </w:pPr>
            <w:hyperlink r:id="rId11" w:history="1">
              <w:r w:rsidR="00DB75CF" w:rsidRPr="00DB75CF">
                <w:rPr>
                  <w:rStyle w:val="Hyperlink"/>
                  <w:sz w:val="22"/>
                  <w:szCs w:val="22"/>
                  <w:lang w:eastAsia="en-AU"/>
                </w:rPr>
                <w:t>MSFKB3010 - Detail Cabinet Construction Requirements</w:t>
              </w:r>
            </w:hyperlink>
          </w:p>
          <w:p w14:paraId="5736F755" w14:textId="2995C6EC" w:rsidR="00DB75CF" w:rsidRPr="00E35191" w:rsidRDefault="00696B59" w:rsidP="00DB75CF">
            <w:pPr>
              <w:rPr>
                <w:sz w:val="22"/>
                <w:szCs w:val="22"/>
                <w:lang w:eastAsia="en-AU"/>
              </w:rPr>
            </w:pPr>
            <w:hyperlink r:id="rId12" w:history="1">
              <w:r w:rsidR="00DB75CF" w:rsidRPr="00DB75CF">
                <w:rPr>
                  <w:rStyle w:val="Hyperlink"/>
                  <w:sz w:val="22"/>
                  <w:szCs w:val="22"/>
                  <w:lang w:eastAsia="en-AU"/>
                </w:rPr>
                <w:t>MSFKB4011 - Design Ancillary Residential Cabinetry</w:t>
              </w:r>
            </w:hyperlink>
          </w:p>
        </w:tc>
      </w:tr>
      <w:tr w:rsidR="00BA116A" w14:paraId="135C1221" w14:textId="77777777" w:rsidTr="00457D20">
        <w:tc>
          <w:tcPr>
            <w:tcW w:w="1093" w:type="pct"/>
            <w:vAlign w:val="top"/>
          </w:tcPr>
          <w:p w14:paraId="40315A67" w14:textId="64615386" w:rsidR="00BA116A" w:rsidRPr="00F6266C" w:rsidRDefault="00BA116A" w:rsidP="00F6266C">
            <w:pPr>
              <w:rPr>
                <w:sz w:val="22"/>
                <w:szCs w:val="22"/>
                <w:lang w:eastAsia="en-AU"/>
              </w:rPr>
            </w:pPr>
            <w:r w:rsidRPr="007A6B4A">
              <w:rPr>
                <w:b/>
                <w:sz w:val="22"/>
                <w:szCs w:val="22"/>
                <w:lang w:eastAsia="en-AU"/>
              </w:rPr>
              <w:t>Assessments</w:t>
            </w:r>
          </w:p>
        </w:tc>
        <w:tc>
          <w:tcPr>
            <w:tcW w:w="3907" w:type="pct"/>
            <w:vAlign w:val="top"/>
          </w:tcPr>
          <w:p w14:paraId="1CFBA6BF" w14:textId="77D19BB4" w:rsidR="00BA116A" w:rsidRPr="00E35191" w:rsidRDefault="00BA116A" w:rsidP="00610BCF">
            <w:pPr>
              <w:rPr>
                <w:sz w:val="22"/>
                <w:szCs w:val="22"/>
                <w:lang w:eastAsia="en-AU"/>
              </w:rPr>
            </w:pPr>
            <w:r w:rsidRPr="00E35191">
              <w:rPr>
                <w:sz w:val="22"/>
                <w:szCs w:val="22"/>
                <w:lang w:eastAsia="en-AU"/>
              </w:rPr>
              <w:t xml:space="preserve">The </w:t>
            </w:r>
            <w:r w:rsidR="00EE1BBA" w:rsidRPr="00E35191">
              <w:rPr>
                <w:sz w:val="22"/>
                <w:szCs w:val="22"/>
                <w:lang w:eastAsia="en-AU"/>
              </w:rPr>
              <w:t xml:space="preserve">clustered </w:t>
            </w:r>
            <w:r w:rsidR="009B4B1E" w:rsidRPr="00E35191">
              <w:rPr>
                <w:sz w:val="22"/>
                <w:szCs w:val="22"/>
                <w:lang w:eastAsia="en-AU"/>
              </w:rPr>
              <w:t>assessments in these</w:t>
            </w:r>
            <w:r w:rsidRPr="00E35191">
              <w:rPr>
                <w:sz w:val="22"/>
                <w:szCs w:val="22"/>
                <w:lang w:eastAsia="en-AU"/>
              </w:rPr>
              <w:t xml:space="preserve"> unit</w:t>
            </w:r>
            <w:r w:rsidR="009B4B1E" w:rsidRPr="00E35191">
              <w:rPr>
                <w:sz w:val="22"/>
                <w:szCs w:val="22"/>
                <w:lang w:eastAsia="en-AU"/>
              </w:rPr>
              <w:t>s</w:t>
            </w:r>
            <w:r w:rsidRPr="00E35191">
              <w:rPr>
                <w:sz w:val="22"/>
                <w:szCs w:val="22"/>
                <w:lang w:eastAsia="en-AU"/>
              </w:rPr>
              <w:t xml:space="preserve">, are a combination of </w:t>
            </w:r>
            <w:r w:rsidR="00EF33FC" w:rsidRPr="00E35191">
              <w:rPr>
                <w:sz w:val="22"/>
                <w:szCs w:val="22"/>
                <w:lang w:eastAsia="en-AU"/>
              </w:rPr>
              <w:t xml:space="preserve">written and </w:t>
            </w:r>
            <w:r w:rsidRPr="00E35191">
              <w:rPr>
                <w:sz w:val="22"/>
                <w:szCs w:val="22"/>
                <w:lang w:eastAsia="en-AU"/>
              </w:rPr>
              <w:t xml:space="preserve">skill based </w:t>
            </w:r>
            <w:r w:rsidR="00EF33FC" w:rsidRPr="00E35191">
              <w:rPr>
                <w:sz w:val="22"/>
                <w:szCs w:val="22"/>
                <w:lang w:eastAsia="en-AU"/>
              </w:rPr>
              <w:t>as</w:t>
            </w:r>
            <w:r w:rsidRPr="00E35191">
              <w:rPr>
                <w:sz w:val="22"/>
                <w:szCs w:val="22"/>
                <w:lang w:eastAsia="en-AU"/>
              </w:rPr>
              <w:t>sessments.   The types of assessments you will be completing are:</w:t>
            </w:r>
          </w:p>
          <w:p w14:paraId="55B0A5FF" w14:textId="1E10D21C" w:rsidR="00BA116A" w:rsidRPr="00E35191" w:rsidRDefault="00713E92" w:rsidP="00721254">
            <w:pPr>
              <w:pStyle w:val="ListParagraph"/>
              <w:numPr>
                <w:ilvl w:val="0"/>
                <w:numId w:val="32"/>
              </w:numPr>
              <w:rPr>
                <w:lang w:eastAsia="en-AU"/>
              </w:rPr>
            </w:pPr>
            <w:r>
              <w:rPr>
                <w:sz w:val="22"/>
                <w:szCs w:val="22"/>
                <w:lang w:eastAsia="en-AU"/>
              </w:rPr>
              <w:t>Knowledge Assessment</w:t>
            </w:r>
            <w:r w:rsidR="00AC4DDB" w:rsidRPr="00E35191">
              <w:rPr>
                <w:i/>
                <w:color w:val="808080" w:themeColor="background1" w:themeShade="80"/>
                <w:sz w:val="22"/>
                <w:szCs w:val="22"/>
                <w:lang w:eastAsia="en-AU"/>
              </w:rPr>
              <w:t xml:space="preserve">.  </w:t>
            </w:r>
          </w:p>
          <w:p w14:paraId="58219966" w14:textId="5DB1A12B" w:rsidR="00EE1BBA" w:rsidRPr="00713E92" w:rsidRDefault="00713E92" w:rsidP="00721254">
            <w:pPr>
              <w:pStyle w:val="ListParagraph"/>
              <w:numPr>
                <w:ilvl w:val="0"/>
                <w:numId w:val="32"/>
              </w:numPr>
              <w:rPr>
                <w:lang w:eastAsia="en-AU"/>
              </w:rPr>
            </w:pPr>
            <w:r>
              <w:rPr>
                <w:sz w:val="22"/>
                <w:szCs w:val="22"/>
                <w:lang w:eastAsia="en-AU"/>
              </w:rPr>
              <w:t>Project</w:t>
            </w:r>
            <w:r w:rsidR="00FB5613">
              <w:rPr>
                <w:sz w:val="22"/>
                <w:szCs w:val="22"/>
                <w:lang w:eastAsia="en-AU"/>
              </w:rPr>
              <w:t xml:space="preserve"> Assessment</w:t>
            </w:r>
          </w:p>
        </w:tc>
      </w:tr>
      <w:tr w:rsidR="00EE1BBA" w14:paraId="3F476514" w14:textId="77777777" w:rsidTr="00457D20">
        <w:tc>
          <w:tcPr>
            <w:tcW w:w="1093" w:type="pct"/>
            <w:shd w:val="clear" w:color="auto" w:fill="auto"/>
            <w:vAlign w:val="top"/>
          </w:tcPr>
          <w:p w14:paraId="513488AD" w14:textId="5F197152" w:rsidR="00EE1BBA" w:rsidRPr="007A6B4A" w:rsidRDefault="00EE1BBA" w:rsidP="00EE1BBA">
            <w:pPr>
              <w:rPr>
                <w:b/>
                <w:sz w:val="22"/>
                <w:szCs w:val="22"/>
                <w:lang w:eastAsia="en-AU"/>
              </w:rPr>
            </w:pPr>
            <w:r w:rsidRPr="007A6B4A">
              <w:rPr>
                <w:b/>
                <w:sz w:val="22"/>
                <w:szCs w:val="22"/>
                <w:lang w:eastAsia="en-AU"/>
              </w:rPr>
              <w:t>Learning materials</w:t>
            </w:r>
          </w:p>
        </w:tc>
        <w:tc>
          <w:tcPr>
            <w:tcW w:w="3907" w:type="pct"/>
            <w:shd w:val="clear" w:color="auto" w:fill="auto"/>
            <w:vAlign w:val="top"/>
          </w:tcPr>
          <w:p w14:paraId="13462ED8" w14:textId="77777777" w:rsidR="00EE1BBA" w:rsidRPr="00E951BD" w:rsidRDefault="00EE1BBA" w:rsidP="00EE1BBA">
            <w:pPr>
              <w:rPr>
                <w:sz w:val="22"/>
                <w:szCs w:val="22"/>
                <w:lang w:eastAsia="en-AU"/>
              </w:rPr>
            </w:pPr>
            <w:r w:rsidRPr="00E951BD">
              <w:rPr>
                <w:sz w:val="22"/>
                <w:szCs w:val="22"/>
                <w:lang w:eastAsia="en-AU"/>
              </w:rPr>
              <w:t>The learning materials for this unit include:</w:t>
            </w:r>
          </w:p>
          <w:p w14:paraId="067FCA59" w14:textId="77777777" w:rsidR="00EE1BBA" w:rsidRPr="00713E92" w:rsidRDefault="00EE1BBA" w:rsidP="00EE1BBA">
            <w:pPr>
              <w:pStyle w:val="ListParagraph"/>
              <w:numPr>
                <w:ilvl w:val="0"/>
                <w:numId w:val="33"/>
              </w:numPr>
              <w:rPr>
                <w:sz w:val="22"/>
                <w:szCs w:val="22"/>
                <w:lang w:eastAsia="en-AU"/>
              </w:rPr>
            </w:pPr>
            <w:r w:rsidRPr="00713E92">
              <w:rPr>
                <w:sz w:val="22"/>
                <w:szCs w:val="22"/>
                <w:lang w:eastAsia="en-AU"/>
              </w:rPr>
              <w:t>Learning guides</w:t>
            </w:r>
          </w:p>
          <w:p w14:paraId="6F825C72" w14:textId="77777777" w:rsidR="00EE1BBA" w:rsidRPr="00713E92" w:rsidRDefault="00EE1BBA" w:rsidP="00EE1BBA">
            <w:pPr>
              <w:pStyle w:val="ListParagraph"/>
              <w:numPr>
                <w:ilvl w:val="0"/>
                <w:numId w:val="33"/>
              </w:numPr>
              <w:rPr>
                <w:sz w:val="22"/>
                <w:szCs w:val="22"/>
                <w:lang w:eastAsia="en-AU"/>
              </w:rPr>
            </w:pPr>
            <w:r w:rsidRPr="00713E92">
              <w:rPr>
                <w:sz w:val="22"/>
                <w:szCs w:val="22"/>
                <w:lang w:eastAsia="en-AU"/>
              </w:rPr>
              <w:t>Activities</w:t>
            </w:r>
          </w:p>
          <w:p w14:paraId="77217061" w14:textId="77D3D4B7" w:rsidR="00EE1BBA" w:rsidRPr="00713E92" w:rsidRDefault="00EE1BBA" w:rsidP="00EE1BBA">
            <w:pPr>
              <w:pStyle w:val="ListParagraph"/>
              <w:numPr>
                <w:ilvl w:val="0"/>
                <w:numId w:val="33"/>
              </w:numPr>
              <w:rPr>
                <w:sz w:val="22"/>
                <w:szCs w:val="22"/>
                <w:lang w:eastAsia="en-AU"/>
              </w:rPr>
            </w:pPr>
            <w:r w:rsidRPr="00713E92">
              <w:rPr>
                <w:sz w:val="22"/>
                <w:szCs w:val="22"/>
                <w:lang w:eastAsia="en-AU"/>
              </w:rPr>
              <w:t>Key documents and templates</w:t>
            </w:r>
          </w:p>
          <w:p w14:paraId="676C42B1" w14:textId="3485D4DC" w:rsidR="00EE1BBA" w:rsidRPr="00AC4DDB" w:rsidRDefault="00EE1BBA" w:rsidP="00713E92">
            <w:pPr>
              <w:pStyle w:val="ListParagraph"/>
              <w:rPr>
                <w:color w:val="808080" w:themeColor="background1" w:themeShade="80"/>
                <w:sz w:val="22"/>
                <w:szCs w:val="22"/>
                <w:lang w:eastAsia="en-AU"/>
              </w:rPr>
            </w:pPr>
          </w:p>
        </w:tc>
      </w:tr>
      <w:tr w:rsidR="00EE1BBA" w14:paraId="18B867C1" w14:textId="77777777" w:rsidTr="00457D20">
        <w:tc>
          <w:tcPr>
            <w:tcW w:w="1093" w:type="pct"/>
            <w:vAlign w:val="top"/>
          </w:tcPr>
          <w:p w14:paraId="45F0CE10" w14:textId="6CBC06F0" w:rsidR="00EE1BBA" w:rsidRPr="007A6B4A" w:rsidRDefault="00EE1BBA" w:rsidP="00EE1BBA">
            <w:pPr>
              <w:rPr>
                <w:b/>
                <w:sz w:val="22"/>
                <w:szCs w:val="22"/>
                <w:highlight w:val="yellow"/>
                <w:lang w:eastAsia="en-AU"/>
              </w:rPr>
            </w:pPr>
            <w:r w:rsidRPr="007A6B4A">
              <w:rPr>
                <w:b/>
                <w:sz w:val="22"/>
                <w:szCs w:val="22"/>
                <w:lang w:eastAsia="en-AU"/>
              </w:rPr>
              <w:t>Assessment Information</w:t>
            </w:r>
          </w:p>
        </w:tc>
        <w:tc>
          <w:tcPr>
            <w:tcW w:w="3907" w:type="pct"/>
            <w:vAlign w:val="top"/>
          </w:tcPr>
          <w:p w14:paraId="64BB6558" w14:textId="77777777" w:rsidR="00EE1BBA" w:rsidRPr="00E951BD" w:rsidRDefault="00EE1BBA" w:rsidP="00EE1BBA">
            <w:pPr>
              <w:rPr>
                <w:sz w:val="22"/>
                <w:szCs w:val="22"/>
                <w:lang w:eastAsia="en-AU"/>
              </w:rPr>
            </w:pPr>
            <w:r w:rsidRPr="00E951BD">
              <w:rPr>
                <w:sz w:val="22"/>
                <w:szCs w:val="22"/>
                <w:lang w:eastAsia="en-AU"/>
              </w:rPr>
              <w:t>You must submit assessment work and attend scheduled assessments on the required dates.</w:t>
            </w:r>
          </w:p>
          <w:p w14:paraId="421E1FD8" w14:textId="23DEB24B" w:rsidR="00EE1BBA" w:rsidRPr="00D57AA9" w:rsidRDefault="00EE1BBA" w:rsidP="00EE1BBA">
            <w:pPr>
              <w:rPr>
                <w:sz w:val="22"/>
                <w:szCs w:val="22"/>
                <w:lang w:eastAsia="en-AU"/>
              </w:rPr>
            </w:pPr>
            <w:r>
              <w:rPr>
                <w:sz w:val="22"/>
                <w:szCs w:val="22"/>
                <w:lang w:eastAsia="en-AU"/>
              </w:rPr>
              <w:t>For further information, refer to Every Students Guide to Assessment in TAFE NSW.</w:t>
            </w:r>
          </w:p>
        </w:tc>
      </w:tr>
      <w:tr w:rsidR="00EE1BBA" w14:paraId="05204FC5" w14:textId="77777777" w:rsidTr="00457D20">
        <w:tc>
          <w:tcPr>
            <w:tcW w:w="1093" w:type="pct"/>
            <w:vAlign w:val="top"/>
          </w:tcPr>
          <w:p w14:paraId="780592AD" w14:textId="27306346" w:rsidR="00EE1BBA" w:rsidRPr="007A6B4A" w:rsidRDefault="00EE1BBA" w:rsidP="00EE1BBA">
            <w:pPr>
              <w:rPr>
                <w:b/>
                <w:sz w:val="22"/>
                <w:szCs w:val="22"/>
                <w:lang w:eastAsia="en-AU"/>
              </w:rPr>
            </w:pPr>
            <w:r w:rsidRPr="007A6B4A">
              <w:rPr>
                <w:b/>
                <w:sz w:val="22"/>
                <w:szCs w:val="22"/>
                <w:lang w:eastAsia="en-AU"/>
              </w:rPr>
              <w:t>Achieving a satisfactory result</w:t>
            </w:r>
          </w:p>
        </w:tc>
        <w:tc>
          <w:tcPr>
            <w:tcW w:w="3907" w:type="pct"/>
            <w:vAlign w:val="top"/>
          </w:tcPr>
          <w:p w14:paraId="08D8ED9D" w14:textId="5F7D58DD" w:rsidR="003E6295" w:rsidRDefault="00EE1BBA" w:rsidP="002F4D63">
            <w:pPr>
              <w:rPr>
                <w:sz w:val="22"/>
                <w:szCs w:val="22"/>
                <w:lang w:eastAsia="en-AU"/>
              </w:rPr>
            </w:pPr>
            <w:r w:rsidRPr="00A9459E">
              <w:rPr>
                <w:sz w:val="22"/>
                <w:szCs w:val="22"/>
                <w:lang w:eastAsia="en-AU"/>
              </w:rPr>
              <w:t xml:space="preserve">Your assessor will assess your competence against the requirements of the </w:t>
            </w:r>
            <w:r w:rsidR="002F4D63" w:rsidRPr="00A9459E">
              <w:rPr>
                <w:sz w:val="22"/>
                <w:szCs w:val="22"/>
                <w:lang w:eastAsia="en-AU"/>
              </w:rPr>
              <w:t xml:space="preserve">clustered </w:t>
            </w:r>
            <w:r w:rsidRPr="00A9459E">
              <w:rPr>
                <w:sz w:val="22"/>
                <w:szCs w:val="22"/>
                <w:lang w:eastAsia="en-AU"/>
              </w:rPr>
              <w:t>unit</w:t>
            </w:r>
            <w:r w:rsidR="002F4D63" w:rsidRPr="00A9459E">
              <w:rPr>
                <w:sz w:val="22"/>
                <w:szCs w:val="22"/>
                <w:lang w:eastAsia="en-AU"/>
              </w:rPr>
              <w:t>s</w:t>
            </w:r>
            <w:r w:rsidRPr="00A9459E">
              <w:rPr>
                <w:sz w:val="22"/>
                <w:szCs w:val="22"/>
                <w:lang w:eastAsia="en-AU"/>
              </w:rPr>
              <w:t xml:space="preserve"> and the completion of the assessments listed in this </w:t>
            </w:r>
            <w:r w:rsidR="002F4D63" w:rsidRPr="00A9459E">
              <w:rPr>
                <w:sz w:val="22"/>
                <w:szCs w:val="22"/>
                <w:lang w:eastAsia="en-AU"/>
              </w:rPr>
              <w:t xml:space="preserve">Clustered </w:t>
            </w:r>
            <w:r w:rsidRPr="00A9459E">
              <w:rPr>
                <w:sz w:val="22"/>
                <w:szCs w:val="22"/>
                <w:lang w:eastAsia="en-AU"/>
              </w:rPr>
              <w:t>Assessment Guide.</w:t>
            </w:r>
          </w:p>
          <w:p w14:paraId="0F4B17B3" w14:textId="77777777" w:rsidR="003E6295" w:rsidRPr="003E6295" w:rsidRDefault="003E6295" w:rsidP="003E6295">
            <w:pPr>
              <w:rPr>
                <w:sz w:val="22"/>
                <w:szCs w:val="22"/>
                <w:lang w:eastAsia="en-AU"/>
              </w:rPr>
            </w:pPr>
          </w:p>
          <w:p w14:paraId="6F89B7F7" w14:textId="77777777" w:rsidR="003E6295" w:rsidRPr="003E6295" w:rsidRDefault="003E6295" w:rsidP="003E6295">
            <w:pPr>
              <w:rPr>
                <w:sz w:val="22"/>
                <w:szCs w:val="22"/>
                <w:lang w:eastAsia="en-AU"/>
              </w:rPr>
            </w:pPr>
          </w:p>
          <w:p w14:paraId="66C6FF68" w14:textId="4ED8D5AA" w:rsidR="00EE1BBA" w:rsidRPr="003E6295" w:rsidRDefault="00EE1BBA" w:rsidP="003E6295">
            <w:pPr>
              <w:rPr>
                <w:sz w:val="22"/>
                <w:szCs w:val="22"/>
                <w:lang w:eastAsia="en-AU"/>
              </w:rPr>
            </w:pPr>
          </w:p>
        </w:tc>
      </w:tr>
      <w:tr w:rsidR="00EE1BBA" w14:paraId="7AA6FA3A" w14:textId="77777777" w:rsidTr="00457D20">
        <w:tc>
          <w:tcPr>
            <w:tcW w:w="1093" w:type="pct"/>
            <w:vAlign w:val="top"/>
          </w:tcPr>
          <w:p w14:paraId="060371CC" w14:textId="077DB558" w:rsidR="00EE1BBA" w:rsidRPr="007A6B4A" w:rsidRDefault="00EE1BBA" w:rsidP="00EE1BBA">
            <w:pPr>
              <w:rPr>
                <w:b/>
                <w:sz w:val="22"/>
                <w:szCs w:val="22"/>
                <w:highlight w:val="yellow"/>
                <w:lang w:eastAsia="en-AU"/>
              </w:rPr>
            </w:pPr>
            <w:r w:rsidRPr="007A6B4A">
              <w:rPr>
                <w:b/>
                <w:sz w:val="22"/>
                <w:szCs w:val="22"/>
                <w:lang w:eastAsia="en-AU"/>
              </w:rPr>
              <w:lastRenderedPageBreak/>
              <w:t>Reporting assessment outcomes</w:t>
            </w:r>
          </w:p>
        </w:tc>
        <w:tc>
          <w:tcPr>
            <w:tcW w:w="3907" w:type="pct"/>
            <w:vAlign w:val="top"/>
          </w:tcPr>
          <w:p w14:paraId="1F425446" w14:textId="50960F8C" w:rsidR="00EE1BBA" w:rsidRPr="00E951BD" w:rsidRDefault="00EE1BBA" w:rsidP="00EE1BBA">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4D3162C5" w14:textId="219A8F4C" w:rsidR="00EE1BBA" w:rsidRPr="00E951BD" w:rsidRDefault="00EE1BBA" w:rsidP="00EE1BBA">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3" w:history="1">
              <w:r w:rsidRPr="00E951BD">
                <w:rPr>
                  <w:rStyle w:val="Hyperlink"/>
                  <w:sz w:val="22"/>
                  <w:szCs w:val="22"/>
                  <w:lang w:eastAsia="en-AU"/>
                </w:rPr>
                <w:t>Student Portal</w:t>
              </w:r>
            </w:hyperlink>
            <w:r w:rsidRPr="00E951BD">
              <w:rPr>
                <w:rStyle w:val="Hyperlink"/>
                <w:sz w:val="22"/>
                <w:szCs w:val="22"/>
                <w:lang w:eastAsia="en-AU"/>
              </w:rPr>
              <w:t>.</w:t>
            </w:r>
          </w:p>
        </w:tc>
      </w:tr>
      <w:tr w:rsidR="00EE1BBA" w14:paraId="72871551" w14:textId="77777777" w:rsidTr="00457D20">
        <w:tc>
          <w:tcPr>
            <w:tcW w:w="1093" w:type="pct"/>
            <w:vAlign w:val="top"/>
          </w:tcPr>
          <w:p w14:paraId="42C02C6F" w14:textId="53FCCA42" w:rsidR="00EE1BBA" w:rsidRPr="007A6B4A" w:rsidRDefault="00EE1BBA" w:rsidP="00EE1BBA">
            <w:pPr>
              <w:rPr>
                <w:b/>
                <w:sz w:val="22"/>
                <w:szCs w:val="22"/>
                <w:lang w:eastAsia="en-AU"/>
              </w:rPr>
            </w:pPr>
            <w:r w:rsidRPr="007A6B4A">
              <w:rPr>
                <w:b/>
                <w:sz w:val="22"/>
                <w:szCs w:val="22"/>
                <w:lang w:eastAsia="en-AU"/>
              </w:rPr>
              <w:t>Recognition</w:t>
            </w:r>
          </w:p>
        </w:tc>
        <w:tc>
          <w:tcPr>
            <w:tcW w:w="3907" w:type="pct"/>
            <w:vAlign w:val="top"/>
          </w:tcPr>
          <w:p w14:paraId="62C4B2A5" w14:textId="77777777" w:rsidR="00EE1BBA" w:rsidRPr="00E951BD" w:rsidRDefault="00EE1BBA" w:rsidP="00EE1BBA">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F064221" w14:textId="77777777" w:rsidR="00EE1BBA" w:rsidRPr="00E951BD" w:rsidRDefault="00EE1BBA" w:rsidP="00EE1BBA">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617577F0" w14:textId="349AB3AF" w:rsidR="00EE1BBA" w:rsidRPr="00E951BD" w:rsidRDefault="00EE1BBA" w:rsidP="00EE1BBA">
            <w:pPr>
              <w:rPr>
                <w:sz w:val="22"/>
                <w:szCs w:val="22"/>
                <w:lang w:eastAsia="en-AU"/>
              </w:rPr>
            </w:pPr>
            <w:r w:rsidRPr="00E951BD">
              <w:rPr>
                <w:sz w:val="22"/>
                <w:szCs w:val="22"/>
                <w:lang w:eastAsia="en-AU"/>
              </w:rPr>
              <w:t xml:space="preserve">Please see the </w:t>
            </w:r>
            <w:hyperlink r:id="rId14"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8B429E" w14:paraId="0AB4E402" w14:textId="77777777" w:rsidTr="00457D20">
        <w:tc>
          <w:tcPr>
            <w:tcW w:w="1093" w:type="pct"/>
            <w:vAlign w:val="top"/>
          </w:tcPr>
          <w:p w14:paraId="4B266E64" w14:textId="790EAB0C" w:rsidR="008B429E" w:rsidRPr="007A6B4A" w:rsidRDefault="008B429E" w:rsidP="008B429E">
            <w:pPr>
              <w:rPr>
                <w:b/>
                <w:sz w:val="22"/>
                <w:szCs w:val="22"/>
                <w:lang w:eastAsia="en-AU"/>
              </w:rPr>
            </w:pPr>
            <w:r w:rsidRPr="007A6B4A">
              <w:rPr>
                <w:b/>
                <w:sz w:val="22"/>
                <w:szCs w:val="22"/>
                <w:lang w:eastAsia="en-AU"/>
              </w:rPr>
              <w:t>Assessment feedback, review or appeals</w:t>
            </w:r>
          </w:p>
        </w:tc>
        <w:tc>
          <w:tcPr>
            <w:tcW w:w="3907" w:type="pct"/>
            <w:vAlign w:val="top"/>
          </w:tcPr>
          <w:p w14:paraId="6AFE9811" w14:textId="77777777" w:rsidR="008B429E" w:rsidRPr="00F3590F" w:rsidRDefault="008B429E" w:rsidP="008B429E">
            <w:pPr>
              <w:rPr>
                <w:sz w:val="22"/>
                <w:szCs w:val="22"/>
              </w:rPr>
            </w:pPr>
            <w:r w:rsidRPr="00F3590F">
              <w:rPr>
                <w:sz w:val="22"/>
                <w:szCs w:val="22"/>
              </w:rPr>
              <w:t xml:space="preserve">In accordance with the TAFE NSW policy </w:t>
            </w:r>
            <w:r w:rsidRPr="00F3590F">
              <w:rPr>
                <w:i/>
                <w:iCs/>
                <w:sz w:val="22"/>
                <w:szCs w:val="22"/>
              </w:rPr>
              <w:t xml:space="preserve">Manage Assessment Appeals, </w:t>
            </w:r>
            <w:r w:rsidRPr="00F3590F">
              <w:rPr>
                <w:sz w:val="22"/>
                <w:szCs w:val="22"/>
              </w:rPr>
              <w:t xml:space="preserve">all students have the right to appeal an assessment decision in relation to how the assessment was conducted and the outcome of the assessment. Appeals must be lodged within </w:t>
            </w:r>
            <w:r w:rsidRPr="00F3590F">
              <w:rPr>
                <w:b/>
                <w:bCs/>
                <w:sz w:val="22"/>
                <w:szCs w:val="22"/>
              </w:rPr>
              <w:t>14 working days</w:t>
            </w:r>
            <w:r w:rsidRPr="00F3590F">
              <w:rPr>
                <w:sz w:val="22"/>
                <w:szCs w:val="22"/>
              </w:rPr>
              <w:t xml:space="preserve"> of the formal notification of the result of the assessment. </w:t>
            </w:r>
          </w:p>
          <w:p w14:paraId="441CB58B" w14:textId="77777777" w:rsidR="008B429E" w:rsidRPr="00A9459E" w:rsidRDefault="008B429E" w:rsidP="008B429E">
            <w:pPr>
              <w:rPr>
                <w:sz w:val="22"/>
                <w:szCs w:val="22"/>
                <w:lang w:eastAsia="en-AU"/>
              </w:rPr>
            </w:pPr>
            <w:r w:rsidRPr="00A9459E">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1C65DBFB" w14:textId="1C6D6898" w:rsidR="008B429E" w:rsidRPr="00A9459E" w:rsidRDefault="008B429E" w:rsidP="008B429E">
            <w:pPr>
              <w:rPr>
                <w:sz w:val="22"/>
                <w:szCs w:val="22"/>
                <w:lang w:eastAsia="en-AU"/>
              </w:rPr>
            </w:pPr>
            <w:r w:rsidRPr="00A9459E">
              <w:rPr>
                <w:sz w:val="22"/>
                <w:szCs w:val="22"/>
                <w:lang w:eastAsia="en-AU"/>
              </w:rPr>
              <w:t>Contact your Head Teacher for the assessment appeals procedures at your college/campus.</w:t>
            </w:r>
          </w:p>
        </w:tc>
      </w:tr>
      <w:tr w:rsidR="00EE1BBA" w14:paraId="42F8CBEF" w14:textId="77777777" w:rsidTr="00457D20">
        <w:tc>
          <w:tcPr>
            <w:tcW w:w="1093" w:type="pct"/>
            <w:vAlign w:val="top"/>
          </w:tcPr>
          <w:p w14:paraId="6E20C191" w14:textId="73D0735C" w:rsidR="00EE1BBA" w:rsidRPr="007A6B4A" w:rsidRDefault="00EE1BBA" w:rsidP="00EE1BBA">
            <w:pPr>
              <w:rPr>
                <w:b/>
                <w:sz w:val="22"/>
                <w:szCs w:val="22"/>
                <w:highlight w:val="yellow"/>
                <w:lang w:eastAsia="en-AU"/>
              </w:rPr>
            </w:pPr>
            <w:r w:rsidRPr="007A6B4A">
              <w:rPr>
                <w:b/>
                <w:sz w:val="22"/>
                <w:szCs w:val="22"/>
                <w:lang w:eastAsia="en-AU"/>
              </w:rPr>
              <w:t>Reasonable adjustment</w:t>
            </w:r>
          </w:p>
        </w:tc>
        <w:tc>
          <w:tcPr>
            <w:tcW w:w="3907" w:type="pct"/>
            <w:vAlign w:val="top"/>
          </w:tcPr>
          <w:p w14:paraId="79AED39B" w14:textId="3A11F0EA" w:rsidR="00EE1BBA" w:rsidRPr="00E951BD" w:rsidRDefault="00EE1BBA" w:rsidP="00EE1BBA">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EE1BBA" w14:paraId="2B7EB89D" w14:textId="77777777" w:rsidTr="00457D20">
        <w:tc>
          <w:tcPr>
            <w:tcW w:w="1093" w:type="pct"/>
            <w:vAlign w:val="top"/>
          </w:tcPr>
          <w:p w14:paraId="3F2C1F87" w14:textId="7364BD3C" w:rsidR="00EE1BBA" w:rsidRPr="007A6B4A" w:rsidRDefault="00EE1BBA" w:rsidP="00EE1BBA">
            <w:pPr>
              <w:rPr>
                <w:b/>
                <w:sz w:val="22"/>
                <w:szCs w:val="22"/>
                <w:highlight w:val="yellow"/>
                <w:lang w:eastAsia="en-AU"/>
              </w:rPr>
            </w:pPr>
            <w:r w:rsidRPr="007A6B4A">
              <w:rPr>
                <w:b/>
                <w:sz w:val="22"/>
                <w:szCs w:val="22"/>
                <w:lang w:eastAsia="en-AU"/>
              </w:rPr>
              <w:t>Educational Support Services</w:t>
            </w:r>
          </w:p>
        </w:tc>
        <w:tc>
          <w:tcPr>
            <w:tcW w:w="3907" w:type="pct"/>
            <w:vAlign w:val="top"/>
          </w:tcPr>
          <w:p w14:paraId="5CAF0E37" w14:textId="77777777" w:rsidR="00EE1BBA" w:rsidRPr="00E951BD" w:rsidRDefault="00EE1BBA" w:rsidP="00EE1BBA">
            <w:pPr>
              <w:rPr>
                <w:sz w:val="22"/>
                <w:szCs w:val="22"/>
                <w:lang w:eastAsia="en-AU"/>
              </w:rPr>
            </w:pPr>
            <w:r w:rsidRPr="00E951BD">
              <w:rPr>
                <w:sz w:val="22"/>
                <w:szCs w:val="22"/>
                <w:lang w:eastAsia="en-AU"/>
              </w:rPr>
              <w:t xml:space="preserve">Please refer to the </w:t>
            </w:r>
            <w:hyperlink r:id="rId15"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AC24FDE" w14:textId="67685837" w:rsidR="00EE1BBA" w:rsidRPr="00E951BD" w:rsidRDefault="00EE1BBA" w:rsidP="002F4D63">
            <w:pPr>
              <w:rPr>
                <w:sz w:val="22"/>
                <w:szCs w:val="22"/>
                <w:lang w:eastAsia="en-AU"/>
              </w:rPr>
            </w:pPr>
            <w:r w:rsidRPr="00E951BD">
              <w:rPr>
                <w:sz w:val="22"/>
                <w:szCs w:val="22"/>
                <w:lang w:eastAsia="en-AU"/>
              </w:rPr>
              <w:t>You may also contact your Head Teacher or T</w:t>
            </w:r>
            <w:r w:rsidR="002F4D63">
              <w:rPr>
                <w:sz w:val="22"/>
                <w:szCs w:val="22"/>
                <w:lang w:eastAsia="en-AU"/>
              </w:rPr>
              <w:t>eacher</w:t>
            </w:r>
            <w:r>
              <w:rPr>
                <w:sz w:val="22"/>
                <w:szCs w:val="22"/>
                <w:lang w:eastAsia="en-AU"/>
              </w:rPr>
              <w:t>/Assessor</w:t>
            </w:r>
            <w:r w:rsidRPr="00E951BD">
              <w:rPr>
                <w:sz w:val="22"/>
                <w:szCs w:val="22"/>
                <w:lang w:eastAsia="en-AU"/>
              </w:rPr>
              <w:t xml:space="preserve"> for further information.</w:t>
            </w:r>
          </w:p>
        </w:tc>
      </w:tr>
      <w:tr w:rsidR="00EE1BBA" w14:paraId="6096AD17" w14:textId="77777777" w:rsidTr="00457D20">
        <w:tc>
          <w:tcPr>
            <w:tcW w:w="1093" w:type="pct"/>
            <w:vAlign w:val="top"/>
          </w:tcPr>
          <w:p w14:paraId="3B8815D0" w14:textId="03B9F9BC" w:rsidR="00EE1BBA" w:rsidRPr="007A6B4A" w:rsidRDefault="00EE1BBA" w:rsidP="00EE1BBA">
            <w:pPr>
              <w:rPr>
                <w:b/>
                <w:sz w:val="22"/>
                <w:szCs w:val="22"/>
                <w:lang w:eastAsia="en-AU"/>
              </w:rPr>
            </w:pPr>
            <w:r>
              <w:rPr>
                <w:b/>
                <w:sz w:val="22"/>
                <w:szCs w:val="22"/>
                <w:lang w:eastAsia="en-AU"/>
              </w:rPr>
              <w:lastRenderedPageBreak/>
              <w:t>Student Declaration</w:t>
            </w:r>
          </w:p>
        </w:tc>
        <w:tc>
          <w:tcPr>
            <w:tcW w:w="3907" w:type="pct"/>
            <w:vAlign w:val="top"/>
          </w:tcPr>
          <w:p w14:paraId="60ECE918" w14:textId="2C19DD28" w:rsidR="00EE1BBA" w:rsidRDefault="002F4D63" w:rsidP="00EE1BBA">
            <w:pPr>
              <w:rPr>
                <w:sz w:val="22"/>
                <w:szCs w:val="22"/>
                <w:lang w:eastAsia="en-AU"/>
              </w:rPr>
            </w:pPr>
            <w:r>
              <w:rPr>
                <w:sz w:val="22"/>
                <w:szCs w:val="22"/>
                <w:lang w:eastAsia="en-AU"/>
              </w:rPr>
              <w:t>Your Teacher</w:t>
            </w:r>
            <w:r w:rsidR="00EE1BBA">
              <w:rPr>
                <w:sz w:val="22"/>
                <w:szCs w:val="22"/>
                <w:lang w:eastAsia="en-AU"/>
              </w:rPr>
              <w:t>/Assessor will provide you with the Student Declaration document for you to sign to ensure that you have received and understood your assessment requirements as per this Assessment Unit Guide.</w:t>
            </w:r>
          </w:p>
          <w:p w14:paraId="6EB99504" w14:textId="7FEE751D" w:rsidR="00EE1BBA" w:rsidRPr="00E951BD" w:rsidRDefault="00EE1BBA" w:rsidP="00EE1BBA">
            <w:pPr>
              <w:rPr>
                <w:sz w:val="22"/>
                <w:szCs w:val="22"/>
                <w:lang w:eastAsia="en-AU"/>
              </w:rPr>
            </w:pPr>
            <w:r>
              <w:rPr>
                <w:sz w:val="22"/>
                <w:szCs w:val="22"/>
                <w:lang w:eastAsia="en-AU"/>
              </w:rPr>
              <w:t>You may receive this in hardcopy or you will be required to acknowledge your understanding online.</w:t>
            </w:r>
          </w:p>
        </w:tc>
      </w:tr>
    </w:tbl>
    <w:bookmarkEnd w:id="0"/>
    <w:p w14:paraId="4204C952" w14:textId="03ACF8FA" w:rsidR="008A6997" w:rsidRDefault="00454FB7" w:rsidP="00457D20">
      <w:pPr>
        <w:pStyle w:val="Heading2"/>
        <w:keepNext/>
        <w:widowControl w:val="0"/>
      </w:pPr>
      <w:r w:rsidRPr="00610BCF">
        <w:t>A</w:t>
      </w:r>
      <w:r w:rsidR="00EA68F5" w:rsidRPr="00610BCF">
        <w:t>ssessment</w:t>
      </w:r>
      <w:r w:rsidRPr="00610BCF">
        <w:t xml:space="preserve"> events and </w:t>
      </w:r>
      <w:r w:rsidR="00EA68F5" w:rsidRPr="00610BCF">
        <w:t>schedule</w:t>
      </w:r>
    </w:p>
    <w:p w14:paraId="4928557E" w14:textId="2B580BCC" w:rsidR="00F509F8" w:rsidRPr="00A9459E" w:rsidRDefault="00F509F8" w:rsidP="00F509F8">
      <w:pPr>
        <w:pStyle w:val="NormalWeb"/>
        <w:rPr>
          <w:rFonts w:ascii="Calibri" w:hAnsi="Calibri"/>
          <w:i/>
          <w:color w:val="FF0000"/>
          <w:sz w:val="22"/>
          <w:szCs w:val="22"/>
        </w:rPr>
      </w:pPr>
      <w:r w:rsidRPr="00A9459E">
        <w:rPr>
          <w:rFonts w:ascii="Calibri" w:hAnsi="Calibri"/>
        </w:rPr>
        <w:t xml:space="preserve">If you study online, you can find your assessment due dates and information on submitting your assessments on the Assessment page or in your Training Plan.  </w:t>
      </w:r>
      <w:r w:rsidRPr="00A9459E">
        <w:rPr>
          <w:rFonts w:ascii="Calibri" w:hAnsi="Calibri"/>
          <w:i/>
          <w:color w:val="FF0000"/>
          <w:sz w:val="22"/>
          <w:szCs w:val="22"/>
        </w:rPr>
        <w:t>(delete if not for online delivery)</w:t>
      </w:r>
    </w:p>
    <w:p w14:paraId="6BF1A511" w14:textId="27D0E79A" w:rsidR="0018042E" w:rsidRDefault="0018042E" w:rsidP="0018042E">
      <w:pPr>
        <w:pStyle w:val="Caption"/>
        <w:keepNext/>
      </w:pPr>
      <w:r>
        <w:t xml:space="preserve">Table </w:t>
      </w:r>
      <w:r w:rsidR="00D13767">
        <w:rPr>
          <w:noProof/>
        </w:rPr>
        <w:fldChar w:fldCharType="begin"/>
      </w:r>
      <w:r w:rsidR="00D13767">
        <w:rPr>
          <w:noProof/>
        </w:rPr>
        <w:instrText xml:space="preserve"> SEQ Table \* ARABIC </w:instrText>
      </w:r>
      <w:r w:rsidR="00D13767">
        <w:rPr>
          <w:noProof/>
        </w:rPr>
        <w:fldChar w:fldCharType="separate"/>
      </w:r>
      <w:r w:rsidR="00FB5613">
        <w:rPr>
          <w:noProof/>
        </w:rPr>
        <w:t>2</w:t>
      </w:r>
      <w:r w:rsidR="00D13767">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454FB7" w14:paraId="09A651F5" w14:textId="3DA51AEC" w:rsidTr="0018042E">
        <w:trPr>
          <w:cnfStyle w:val="100000000000" w:firstRow="1" w:lastRow="0" w:firstColumn="0" w:lastColumn="0" w:oddVBand="0" w:evenVBand="0" w:oddHBand="0" w:evenHBand="0" w:firstRowFirstColumn="0" w:firstRowLastColumn="0" w:lastRowFirstColumn="0" w:lastRowLastColumn="0"/>
          <w:tblHeader/>
        </w:trPr>
        <w:tc>
          <w:tcPr>
            <w:tcW w:w="1336" w:type="pct"/>
          </w:tcPr>
          <w:p w14:paraId="02074C87" w14:textId="591E5D5E" w:rsidR="00454FB7" w:rsidRDefault="00454FB7" w:rsidP="00EA68F5">
            <w:pPr>
              <w:rPr>
                <w:lang w:eastAsia="en-AU"/>
              </w:rPr>
            </w:pPr>
            <w:r>
              <w:rPr>
                <w:lang w:eastAsia="en-AU"/>
              </w:rPr>
              <w:t>Event Number/Name</w:t>
            </w:r>
          </w:p>
        </w:tc>
        <w:tc>
          <w:tcPr>
            <w:tcW w:w="1457" w:type="pct"/>
          </w:tcPr>
          <w:p w14:paraId="6D0F93CF" w14:textId="24BCEA29" w:rsidR="00454FB7" w:rsidRDefault="00454FB7" w:rsidP="00EA68F5">
            <w:pPr>
              <w:rPr>
                <w:lang w:eastAsia="en-AU"/>
              </w:rPr>
            </w:pPr>
            <w:r>
              <w:rPr>
                <w:lang w:eastAsia="en-AU"/>
              </w:rPr>
              <w:t>Method of collecting evidence</w:t>
            </w:r>
          </w:p>
        </w:tc>
        <w:tc>
          <w:tcPr>
            <w:tcW w:w="1104" w:type="pct"/>
          </w:tcPr>
          <w:p w14:paraId="478ACFFC" w14:textId="74862D7C" w:rsidR="00454FB7" w:rsidRPr="00EA68F5" w:rsidRDefault="00454FB7" w:rsidP="00EA68F5">
            <w:pPr>
              <w:rPr>
                <w:lang w:eastAsia="en-AU"/>
              </w:rPr>
            </w:pPr>
            <w:r>
              <w:rPr>
                <w:lang w:eastAsia="en-AU"/>
              </w:rPr>
              <w:t>Venue</w:t>
            </w:r>
            <w:r w:rsidR="005E0268">
              <w:rPr>
                <w:lang w:eastAsia="en-AU"/>
              </w:rPr>
              <w:t xml:space="preserve"> (if applicable)</w:t>
            </w:r>
          </w:p>
        </w:tc>
        <w:tc>
          <w:tcPr>
            <w:tcW w:w="1103" w:type="pct"/>
          </w:tcPr>
          <w:p w14:paraId="0206968C" w14:textId="21EF5694" w:rsidR="00454FB7" w:rsidRPr="00EA68F5" w:rsidRDefault="00454FB7" w:rsidP="00EA68F5">
            <w:pPr>
              <w:rPr>
                <w:lang w:eastAsia="en-AU"/>
              </w:rPr>
            </w:pPr>
            <w:r>
              <w:rPr>
                <w:lang w:eastAsia="en-AU"/>
              </w:rPr>
              <w:t>Assessment date or submission due date</w:t>
            </w:r>
          </w:p>
        </w:tc>
      </w:tr>
      <w:tr w:rsidR="00454FB7" w14:paraId="587FA05C" w14:textId="51CA1EEC" w:rsidTr="0018042E">
        <w:tc>
          <w:tcPr>
            <w:tcW w:w="1336" w:type="pct"/>
          </w:tcPr>
          <w:p w14:paraId="4CA2E1D2" w14:textId="6910F3C0" w:rsidR="00454FB7" w:rsidRPr="00FB5613" w:rsidRDefault="00FB5613" w:rsidP="00EA68F5">
            <w:pPr>
              <w:rPr>
                <w:sz w:val="22"/>
                <w:szCs w:val="22"/>
                <w:lang w:eastAsia="en-AU"/>
              </w:rPr>
            </w:pPr>
            <w:r w:rsidRPr="00FB5613">
              <w:rPr>
                <w:sz w:val="22"/>
                <w:szCs w:val="22"/>
                <w:lang w:eastAsia="en-AU"/>
              </w:rPr>
              <w:t>Knowledge Assessment 1 of 2</w:t>
            </w:r>
          </w:p>
        </w:tc>
        <w:tc>
          <w:tcPr>
            <w:tcW w:w="1457" w:type="pct"/>
          </w:tcPr>
          <w:p w14:paraId="1FBE0983" w14:textId="200BE053" w:rsidR="00454FB7" w:rsidRPr="00FB5613" w:rsidRDefault="00454FB7" w:rsidP="00EA68F5">
            <w:pPr>
              <w:rPr>
                <w:sz w:val="22"/>
                <w:szCs w:val="22"/>
                <w:lang w:eastAsia="en-AU"/>
              </w:rPr>
            </w:pPr>
            <w:r w:rsidRPr="00FB5613">
              <w:rPr>
                <w:sz w:val="22"/>
                <w:szCs w:val="22"/>
                <w:lang w:eastAsia="en-AU"/>
              </w:rPr>
              <w:t>Written</w:t>
            </w:r>
          </w:p>
        </w:tc>
        <w:tc>
          <w:tcPr>
            <w:tcW w:w="1104" w:type="pct"/>
          </w:tcPr>
          <w:p w14:paraId="18684E75" w14:textId="77777777" w:rsidR="00454FB7" w:rsidRPr="00FB5613" w:rsidRDefault="00454FB7" w:rsidP="00EA68F5">
            <w:pPr>
              <w:rPr>
                <w:lang w:eastAsia="en-AU"/>
              </w:rPr>
            </w:pPr>
          </w:p>
        </w:tc>
        <w:tc>
          <w:tcPr>
            <w:tcW w:w="1103" w:type="pct"/>
          </w:tcPr>
          <w:p w14:paraId="52112811" w14:textId="02B0E692" w:rsidR="00454FB7" w:rsidRPr="00FB5613" w:rsidRDefault="0026377F" w:rsidP="00EA68F5">
            <w:pPr>
              <w:rPr>
                <w:lang w:eastAsia="en-AU"/>
              </w:rPr>
            </w:pPr>
            <w:r>
              <w:rPr>
                <w:lang w:eastAsia="en-AU"/>
              </w:rPr>
              <w:t>Week 17</w:t>
            </w:r>
          </w:p>
        </w:tc>
      </w:tr>
      <w:tr w:rsidR="00454FB7" w14:paraId="1E15D6F8" w14:textId="773AE6F8" w:rsidTr="0018042E">
        <w:tc>
          <w:tcPr>
            <w:tcW w:w="1336" w:type="pct"/>
          </w:tcPr>
          <w:p w14:paraId="3337C4FC" w14:textId="46FA86B2" w:rsidR="00454FB7" w:rsidRPr="00FB5613" w:rsidRDefault="00F3590F" w:rsidP="00EA68F5">
            <w:pPr>
              <w:rPr>
                <w:sz w:val="22"/>
                <w:szCs w:val="22"/>
                <w:lang w:eastAsia="en-AU"/>
              </w:rPr>
            </w:pPr>
            <w:r>
              <w:rPr>
                <w:sz w:val="22"/>
                <w:szCs w:val="22"/>
                <w:lang w:eastAsia="en-AU"/>
              </w:rPr>
              <w:t>Project Assessment        2</w:t>
            </w:r>
            <w:r w:rsidR="00FB5613" w:rsidRPr="00FB5613">
              <w:rPr>
                <w:sz w:val="22"/>
                <w:szCs w:val="22"/>
                <w:lang w:eastAsia="en-AU"/>
              </w:rPr>
              <w:t xml:space="preserve"> of 2</w:t>
            </w:r>
          </w:p>
        </w:tc>
        <w:tc>
          <w:tcPr>
            <w:tcW w:w="1457" w:type="pct"/>
          </w:tcPr>
          <w:p w14:paraId="7D8CD009" w14:textId="65BDA464" w:rsidR="00454FB7" w:rsidRPr="00FB5613" w:rsidRDefault="00FB5613" w:rsidP="00EA68F5">
            <w:pPr>
              <w:rPr>
                <w:sz w:val="22"/>
                <w:szCs w:val="22"/>
                <w:lang w:eastAsia="en-AU"/>
              </w:rPr>
            </w:pPr>
            <w:r w:rsidRPr="00FB5613">
              <w:rPr>
                <w:sz w:val="22"/>
                <w:szCs w:val="22"/>
                <w:lang w:eastAsia="en-AU"/>
              </w:rPr>
              <w:t>Project, Written</w:t>
            </w:r>
          </w:p>
        </w:tc>
        <w:tc>
          <w:tcPr>
            <w:tcW w:w="1104" w:type="pct"/>
          </w:tcPr>
          <w:p w14:paraId="517EE3EE" w14:textId="77777777" w:rsidR="00454FB7" w:rsidRPr="00FB5613" w:rsidRDefault="00454FB7" w:rsidP="00EA68F5">
            <w:pPr>
              <w:rPr>
                <w:lang w:eastAsia="en-AU"/>
              </w:rPr>
            </w:pPr>
          </w:p>
        </w:tc>
        <w:tc>
          <w:tcPr>
            <w:tcW w:w="1103" w:type="pct"/>
          </w:tcPr>
          <w:p w14:paraId="29BBAD49" w14:textId="59DEE51C" w:rsidR="00454FB7" w:rsidRPr="00FB5613" w:rsidRDefault="0026377F" w:rsidP="00EA68F5">
            <w:pPr>
              <w:rPr>
                <w:lang w:eastAsia="en-AU"/>
              </w:rPr>
            </w:pPr>
            <w:r>
              <w:rPr>
                <w:lang w:eastAsia="en-AU"/>
              </w:rPr>
              <w:t>Week 17</w:t>
            </w:r>
          </w:p>
        </w:tc>
      </w:tr>
    </w:tbl>
    <w:p w14:paraId="2CB7FD5C" w14:textId="77777777" w:rsidR="00F3590F" w:rsidRDefault="00F3590F" w:rsidP="003E6295">
      <w:pPr>
        <w:pStyle w:val="Body"/>
      </w:pPr>
    </w:p>
    <w:p w14:paraId="1D3D57A0" w14:textId="7BA1FDC8" w:rsidR="00696B59" w:rsidRDefault="00696B59">
      <w:pPr>
        <w:tabs>
          <w:tab w:val="clear" w:pos="284"/>
        </w:tabs>
        <w:spacing w:before="0" w:after="200" w:line="276" w:lineRule="auto"/>
        <w:rPr>
          <w:noProof/>
          <w:lang w:eastAsia="en-AU"/>
        </w:rPr>
      </w:pPr>
      <w:r>
        <w:rPr>
          <w:noProof/>
          <w:lang w:eastAsia="en-AU"/>
        </w:rPr>
        <w:br w:type="page"/>
      </w:r>
    </w:p>
    <w:p w14:paraId="1091C90F" w14:textId="77777777" w:rsidR="00F3590F" w:rsidRDefault="00F3590F" w:rsidP="003E6295">
      <w:pPr>
        <w:pStyle w:val="Body"/>
        <w:rPr>
          <w:noProof/>
          <w:lang w:eastAsia="en-AU"/>
        </w:rPr>
      </w:pPr>
      <w:bookmarkStart w:id="1" w:name="_GoBack"/>
      <w:bookmarkEnd w:id="1"/>
    </w:p>
    <w:p w14:paraId="6B3722D6" w14:textId="297F8C7D" w:rsidR="00FC48B2" w:rsidRDefault="00FC48B2" w:rsidP="00610BCF">
      <w:pPr>
        <w:pStyle w:val="Heading2"/>
      </w:pPr>
      <w:r w:rsidRPr="00610BCF">
        <w:t>Contact details</w:t>
      </w:r>
    </w:p>
    <w:p w14:paraId="4645F796" w14:textId="77777777" w:rsidR="00F509F8" w:rsidRPr="00F509F8" w:rsidRDefault="00F509F8" w:rsidP="00F509F8">
      <w:pPr>
        <w:pStyle w:val="NormalWeb"/>
        <w:rPr>
          <w:rFonts w:ascii="Calibri" w:hAnsi="Calibri"/>
          <w:i/>
          <w:color w:val="808080" w:themeColor="background1" w:themeShade="80"/>
          <w:sz w:val="22"/>
          <w:szCs w:val="22"/>
        </w:rPr>
      </w:pPr>
      <w:r w:rsidRPr="00A9459E">
        <w:rPr>
          <w:rFonts w:asciiTheme="minorHAnsi" w:hAnsiTheme="minorHAnsi"/>
        </w:rPr>
        <w:t xml:space="preserve">If you study online, you can find key contact details on the Course overview or Communication pages. </w:t>
      </w:r>
      <w:r w:rsidRPr="00A9459E">
        <w:rPr>
          <w:rFonts w:ascii="Calibri" w:hAnsi="Calibri"/>
          <w:i/>
          <w:color w:val="FF0000"/>
          <w:sz w:val="22"/>
          <w:szCs w:val="22"/>
        </w:rPr>
        <w:t>(delete if not for online delivery)</w:t>
      </w:r>
    </w:p>
    <w:p w14:paraId="5AA15D16" w14:textId="47849640" w:rsidR="00D173C0" w:rsidRDefault="00D173C0" w:rsidP="00D173C0">
      <w:pPr>
        <w:pStyle w:val="Caption"/>
        <w:keepNext/>
      </w:pPr>
      <w:r>
        <w:t xml:space="preserve">Table </w:t>
      </w:r>
      <w:r w:rsidR="0011228E">
        <w:rPr>
          <w:noProof/>
        </w:rPr>
        <w:fldChar w:fldCharType="begin"/>
      </w:r>
      <w:r w:rsidR="0011228E">
        <w:rPr>
          <w:noProof/>
        </w:rPr>
        <w:instrText xml:space="preserve"> SEQ Table \* ARABIC </w:instrText>
      </w:r>
      <w:r w:rsidR="0011228E">
        <w:rPr>
          <w:noProof/>
        </w:rPr>
        <w:fldChar w:fldCharType="separate"/>
      </w:r>
      <w:r w:rsidR="00FB5613">
        <w:rPr>
          <w:noProof/>
        </w:rPr>
        <w:t>3</w:t>
      </w:r>
      <w:r w:rsidR="0011228E">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D173C0" w14:paraId="571B42CE" w14:textId="77777777" w:rsidTr="00457D20">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7B7D0754" w14:textId="77777777" w:rsidR="00D173C0" w:rsidRDefault="00D173C0" w:rsidP="00457D20">
            <w:pPr>
              <w:rPr>
                <w:lang w:eastAsia="en-AU"/>
              </w:rPr>
            </w:pPr>
            <w:r>
              <w:rPr>
                <w:lang w:eastAsia="en-AU"/>
              </w:rPr>
              <w:t>Position</w:t>
            </w:r>
          </w:p>
        </w:tc>
        <w:tc>
          <w:tcPr>
            <w:tcW w:w="1173" w:type="pct"/>
            <w:vAlign w:val="top"/>
          </w:tcPr>
          <w:p w14:paraId="068F28C4" w14:textId="77777777" w:rsidR="00D173C0" w:rsidRDefault="00D173C0" w:rsidP="00457D20">
            <w:pPr>
              <w:rPr>
                <w:lang w:eastAsia="en-AU"/>
              </w:rPr>
            </w:pPr>
            <w:r>
              <w:rPr>
                <w:lang w:eastAsia="en-AU"/>
              </w:rPr>
              <w:t>Name</w:t>
            </w:r>
          </w:p>
        </w:tc>
        <w:tc>
          <w:tcPr>
            <w:tcW w:w="1019" w:type="pct"/>
            <w:vAlign w:val="top"/>
          </w:tcPr>
          <w:p w14:paraId="3D1B956F" w14:textId="77777777" w:rsidR="00D173C0" w:rsidRDefault="00D173C0" w:rsidP="00457D20">
            <w:pPr>
              <w:rPr>
                <w:lang w:eastAsia="en-AU"/>
              </w:rPr>
            </w:pPr>
            <w:r>
              <w:rPr>
                <w:lang w:eastAsia="en-AU"/>
              </w:rPr>
              <w:t>Contact phone</w:t>
            </w:r>
          </w:p>
        </w:tc>
        <w:tc>
          <w:tcPr>
            <w:tcW w:w="1015" w:type="pct"/>
            <w:vAlign w:val="top"/>
          </w:tcPr>
          <w:p w14:paraId="66409FEF" w14:textId="77777777" w:rsidR="00D173C0" w:rsidRDefault="00D173C0" w:rsidP="00457D20">
            <w:pPr>
              <w:rPr>
                <w:lang w:eastAsia="en-AU"/>
              </w:rPr>
            </w:pPr>
            <w:r>
              <w:rPr>
                <w:lang w:eastAsia="en-AU"/>
              </w:rPr>
              <w:t>Email</w:t>
            </w:r>
          </w:p>
        </w:tc>
        <w:tc>
          <w:tcPr>
            <w:tcW w:w="700" w:type="pct"/>
            <w:vAlign w:val="top"/>
          </w:tcPr>
          <w:p w14:paraId="58448125" w14:textId="77777777" w:rsidR="00D173C0" w:rsidRDefault="00D173C0" w:rsidP="00457D20">
            <w:pPr>
              <w:rPr>
                <w:lang w:eastAsia="en-AU"/>
              </w:rPr>
            </w:pPr>
            <w:r w:rsidRPr="00E719B7">
              <w:rPr>
                <w:szCs w:val="22"/>
                <w:lang w:eastAsia="en-AU"/>
              </w:rPr>
              <w:t>Region / Campus</w:t>
            </w:r>
          </w:p>
        </w:tc>
      </w:tr>
      <w:tr w:rsidR="00D173C0" w14:paraId="0056021B" w14:textId="77777777" w:rsidTr="00457D20">
        <w:tc>
          <w:tcPr>
            <w:tcW w:w="1094" w:type="pct"/>
            <w:vAlign w:val="top"/>
          </w:tcPr>
          <w:p w14:paraId="4BDEB4EC" w14:textId="2844E567" w:rsidR="00D173C0" w:rsidRPr="00ED59D5" w:rsidRDefault="002F4D63" w:rsidP="00457D20">
            <w:pPr>
              <w:rPr>
                <w:b/>
                <w:sz w:val="22"/>
                <w:szCs w:val="22"/>
                <w:lang w:eastAsia="en-AU"/>
              </w:rPr>
            </w:pPr>
            <w:r>
              <w:rPr>
                <w:b/>
                <w:sz w:val="22"/>
                <w:szCs w:val="22"/>
                <w:lang w:eastAsia="en-AU"/>
              </w:rPr>
              <w:t>Teacher</w:t>
            </w:r>
            <w:r w:rsidR="00D173C0">
              <w:rPr>
                <w:b/>
                <w:sz w:val="22"/>
                <w:szCs w:val="22"/>
                <w:lang w:eastAsia="en-AU"/>
              </w:rPr>
              <w:t>/Assessor</w:t>
            </w:r>
          </w:p>
        </w:tc>
        <w:tc>
          <w:tcPr>
            <w:tcW w:w="1173" w:type="pct"/>
            <w:vAlign w:val="top"/>
          </w:tcPr>
          <w:p w14:paraId="39CFA4A4" w14:textId="77777777" w:rsidR="00D173C0" w:rsidRDefault="00D173C0" w:rsidP="00457D20">
            <w:pPr>
              <w:rPr>
                <w:lang w:eastAsia="en-AU"/>
              </w:rPr>
            </w:pPr>
          </w:p>
        </w:tc>
        <w:tc>
          <w:tcPr>
            <w:tcW w:w="1019" w:type="pct"/>
            <w:vAlign w:val="top"/>
          </w:tcPr>
          <w:p w14:paraId="6DEBF86C" w14:textId="77777777" w:rsidR="00D173C0" w:rsidRDefault="00D173C0" w:rsidP="00457D20">
            <w:pPr>
              <w:rPr>
                <w:lang w:eastAsia="en-AU"/>
              </w:rPr>
            </w:pPr>
          </w:p>
        </w:tc>
        <w:tc>
          <w:tcPr>
            <w:tcW w:w="1015" w:type="pct"/>
            <w:vAlign w:val="top"/>
          </w:tcPr>
          <w:p w14:paraId="10A64711" w14:textId="77777777" w:rsidR="00D173C0" w:rsidRDefault="00D173C0" w:rsidP="00457D20">
            <w:pPr>
              <w:rPr>
                <w:lang w:eastAsia="en-AU"/>
              </w:rPr>
            </w:pPr>
          </w:p>
        </w:tc>
        <w:tc>
          <w:tcPr>
            <w:tcW w:w="700" w:type="pct"/>
            <w:vAlign w:val="top"/>
          </w:tcPr>
          <w:p w14:paraId="56010628" w14:textId="77777777" w:rsidR="00D173C0" w:rsidRDefault="00D173C0" w:rsidP="00457D20">
            <w:pPr>
              <w:rPr>
                <w:lang w:eastAsia="en-AU"/>
              </w:rPr>
            </w:pPr>
          </w:p>
        </w:tc>
      </w:tr>
      <w:tr w:rsidR="00D173C0" w14:paraId="2E5F35BA" w14:textId="77777777" w:rsidTr="00457D20">
        <w:tc>
          <w:tcPr>
            <w:tcW w:w="1094" w:type="pct"/>
            <w:vAlign w:val="top"/>
          </w:tcPr>
          <w:p w14:paraId="7E9B638D" w14:textId="77777777" w:rsidR="00D173C0" w:rsidRPr="00ED59D5" w:rsidRDefault="00D173C0" w:rsidP="00457D20">
            <w:pPr>
              <w:rPr>
                <w:b/>
                <w:sz w:val="22"/>
                <w:szCs w:val="22"/>
                <w:lang w:eastAsia="en-AU"/>
              </w:rPr>
            </w:pPr>
            <w:r w:rsidRPr="00ED59D5">
              <w:rPr>
                <w:b/>
                <w:sz w:val="22"/>
                <w:szCs w:val="22"/>
                <w:lang w:eastAsia="en-AU"/>
              </w:rPr>
              <w:lastRenderedPageBreak/>
              <w:t>Head Teacher</w:t>
            </w:r>
          </w:p>
        </w:tc>
        <w:tc>
          <w:tcPr>
            <w:tcW w:w="1173" w:type="pct"/>
            <w:vAlign w:val="top"/>
          </w:tcPr>
          <w:p w14:paraId="2A471CB3" w14:textId="77777777" w:rsidR="00D173C0" w:rsidRDefault="00D173C0" w:rsidP="00457D20">
            <w:pPr>
              <w:rPr>
                <w:lang w:eastAsia="en-AU"/>
              </w:rPr>
            </w:pPr>
          </w:p>
        </w:tc>
        <w:tc>
          <w:tcPr>
            <w:tcW w:w="1019" w:type="pct"/>
            <w:vAlign w:val="top"/>
          </w:tcPr>
          <w:p w14:paraId="0524C64A" w14:textId="77777777" w:rsidR="00D173C0" w:rsidRDefault="00D173C0" w:rsidP="00457D20">
            <w:pPr>
              <w:rPr>
                <w:lang w:eastAsia="en-AU"/>
              </w:rPr>
            </w:pPr>
          </w:p>
        </w:tc>
        <w:tc>
          <w:tcPr>
            <w:tcW w:w="1015" w:type="pct"/>
            <w:vAlign w:val="top"/>
          </w:tcPr>
          <w:p w14:paraId="6ED7AE64" w14:textId="77777777" w:rsidR="00D173C0" w:rsidRDefault="00D173C0" w:rsidP="00457D20">
            <w:pPr>
              <w:rPr>
                <w:lang w:eastAsia="en-AU"/>
              </w:rPr>
            </w:pPr>
          </w:p>
        </w:tc>
        <w:tc>
          <w:tcPr>
            <w:tcW w:w="700" w:type="pct"/>
            <w:vAlign w:val="top"/>
          </w:tcPr>
          <w:p w14:paraId="634A244B" w14:textId="77777777" w:rsidR="00D173C0" w:rsidRDefault="00D173C0" w:rsidP="00457D20">
            <w:pPr>
              <w:rPr>
                <w:lang w:eastAsia="en-AU"/>
              </w:rPr>
            </w:pPr>
          </w:p>
        </w:tc>
      </w:tr>
      <w:tr w:rsidR="00D173C0" w14:paraId="36139346" w14:textId="77777777" w:rsidTr="00457D20">
        <w:tc>
          <w:tcPr>
            <w:tcW w:w="1094" w:type="pct"/>
            <w:vAlign w:val="top"/>
          </w:tcPr>
          <w:p w14:paraId="159CEA4D" w14:textId="77777777" w:rsidR="00D173C0" w:rsidRPr="00ED59D5" w:rsidRDefault="00D173C0" w:rsidP="00457D20">
            <w:pPr>
              <w:rPr>
                <w:b/>
                <w:sz w:val="22"/>
                <w:szCs w:val="22"/>
                <w:lang w:eastAsia="en-AU"/>
              </w:rPr>
            </w:pPr>
            <w:r w:rsidRPr="00ED59D5">
              <w:rPr>
                <w:b/>
                <w:sz w:val="22"/>
                <w:szCs w:val="22"/>
                <w:lang w:eastAsia="en-AU"/>
              </w:rPr>
              <w:t>Education Administration Support</w:t>
            </w:r>
          </w:p>
        </w:tc>
        <w:tc>
          <w:tcPr>
            <w:tcW w:w="1173" w:type="pct"/>
            <w:vAlign w:val="top"/>
          </w:tcPr>
          <w:p w14:paraId="3FD55B9F" w14:textId="77777777" w:rsidR="00D173C0" w:rsidRDefault="00D173C0" w:rsidP="00457D20">
            <w:pPr>
              <w:rPr>
                <w:lang w:eastAsia="en-AU"/>
              </w:rPr>
            </w:pPr>
          </w:p>
        </w:tc>
        <w:tc>
          <w:tcPr>
            <w:tcW w:w="1019" w:type="pct"/>
            <w:vAlign w:val="top"/>
          </w:tcPr>
          <w:p w14:paraId="7728BFD2" w14:textId="77777777" w:rsidR="00D173C0" w:rsidRDefault="00D173C0" w:rsidP="00457D20">
            <w:pPr>
              <w:rPr>
                <w:lang w:eastAsia="en-AU"/>
              </w:rPr>
            </w:pPr>
          </w:p>
        </w:tc>
        <w:tc>
          <w:tcPr>
            <w:tcW w:w="1015" w:type="pct"/>
            <w:vAlign w:val="top"/>
          </w:tcPr>
          <w:p w14:paraId="7153CC0E" w14:textId="77777777" w:rsidR="00D173C0" w:rsidRDefault="00D173C0" w:rsidP="00457D20">
            <w:pPr>
              <w:rPr>
                <w:lang w:eastAsia="en-AU"/>
              </w:rPr>
            </w:pPr>
          </w:p>
        </w:tc>
        <w:tc>
          <w:tcPr>
            <w:tcW w:w="700" w:type="pct"/>
            <w:vAlign w:val="top"/>
          </w:tcPr>
          <w:p w14:paraId="36C81D2A" w14:textId="77777777" w:rsidR="00D173C0" w:rsidRDefault="00D173C0" w:rsidP="00457D20">
            <w:pPr>
              <w:rPr>
                <w:lang w:eastAsia="en-AU"/>
              </w:rPr>
            </w:pPr>
          </w:p>
        </w:tc>
      </w:tr>
    </w:tbl>
    <w:p w14:paraId="08836C40" w14:textId="3DB1F5DD" w:rsidR="00FC48B2" w:rsidRPr="00FC48B2" w:rsidRDefault="00FC48B2" w:rsidP="00FC48B2">
      <w:pPr>
        <w:rPr>
          <w:lang w:eastAsia="en-AU"/>
        </w:rPr>
      </w:pPr>
    </w:p>
    <w:sectPr w:rsidR="00FC48B2" w:rsidRPr="00FC48B2" w:rsidSect="00E45188">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4C2E5" w14:textId="77777777" w:rsidR="00395EAA" w:rsidRDefault="00395EAA" w:rsidP="00EE3A11">
      <w:r>
        <w:separator/>
      </w:r>
    </w:p>
    <w:p w14:paraId="64D5B5BD" w14:textId="77777777" w:rsidR="00395EAA" w:rsidRDefault="00395EAA" w:rsidP="00EE3A11"/>
  </w:endnote>
  <w:endnote w:type="continuationSeparator" w:id="0">
    <w:p w14:paraId="14BE0584" w14:textId="77777777" w:rsidR="00395EAA" w:rsidRDefault="00395EAA" w:rsidP="00EE3A11">
      <w:r>
        <w:continuationSeparator/>
      </w:r>
    </w:p>
    <w:p w14:paraId="58E665E7" w14:textId="77777777" w:rsidR="00395EAA" w:rsidRDefault="00395EAA" w:rsidP="00EE3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FE21" w14:textId="5ADC865F" w:rsidR="00CC4677" w:rsidRPr="004820C4" w:rsidRDefault="00CC4677" w:rsidP="0002323C">
    <w:pPr>
      <w:pStyle w:val="Footer-DocumentTitleLeft"/>
    </w:pPr>
  </w:p>
  <w:p w14:paraId="5D8E29E1" w14:textId="77777777" w:rsidR="00CC4677" w:rsidRDefault="00CC467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1E97A2D" w14:textId="77777777" w:rsidR="00CC4677" w:rsidRPr="0006452B" w:rsidRDefault="00CC4677" w:rsidP="00EE3A11"/>
  <w:p w14:paraId="6500D73A" w14:textId="77777777" w:rsidR="00BA0812" w:rsidRDefault="00BA081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0B3E" w14:textId="3C4E8FE8" w:rsidR="009A0ED8" w:rsidRDefault="008948B1" w:rsidP="00B95995">
    <w:pPr>
      <w:pStyle w:val="Bodyfooter"/>
    </w:pPr>
    <w:r w:rsidRPr="008D467A">
      <w:t>Document title</w:t>
    </w:r>
    <w:r w:rsidR="00A3522D">
      <w:t>:</w:t>
    </w:r>
    <w:r w:rsidR="004E7517">
      <w:t xml:space="preserve"> </w:t>
    </w:r>
    <w:fldSimple w:instr=" FILENAME   \* MERGEFORMAT ">
      <w:r w:rsidR="003E6295">
        <w:rPr>
          <w:noProof/>
        </w:rPr>
        <w:t>Cl_Design Cabinets_UAG</w:t>
      </w:r>
    </w:fldSimple>
    <w:r w:rsidR="00F6266C">
      <w:rPr>
        <w:noProof/>
      </w:rPr>
      <w:t xml:space="preserve">                                       RTO Code:  90003</w:t>
    </w:r>
    <w:r w:rsidR="00F6266C">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696B59">
      <w:rPr>
        <w:noProof/>
      </w:rPr>
      <w:t>6</w:t>
    </w:r>
    <w:r w:rsidRPr="008D467A">
      <w:fldChar w:fldCharType="end"/>
    </w:r>
    <w:r w:rsidRPr="008D467A">
      <w:t xml:space="preserve"> of </w:t>
    </w:r>
    <w:r w:rsidR="009F19B3">
      <w:rPr>
        <w:noProof/>
      </w:rPr>
      <w:fldChar w:fldCharType="begin"/>
    </w:r>
    <w:r w:rsidR="009F19B3">
      <w:rPr>
        <w:noProof/>
      </w:rPr>
      <w:instrText xml:space="preserve"> NUMPAGES  \* Arabic  \* MERGEFORMAT </w:instrText>
    </w:r>
    <w:r w:rsidR="009F19B3">
      <w:rPr>
        <w:noProof/>
      </w:rPr>
      <w:fldChar w:fldCharType="separate"/>
    </w:r>
    <w:r w:rsidR="00696B59">
      <w:rPr>
        <w:noProof/>
      </w:rPr>
      <w:t>6</w:t>
    </w:r>
    <w:r w:rsidR="009F19B3">
      <w:rPr>
        <w:noProof/>
      </w:rPr>
      <w:fldChar w:fldCharType="end"/>
    </w:r>
    <w:r w:rsidR="009A0ED8">
      <w:t xml:space="preserve"> </w:t>
    </w:r>
  </w:p>
  <w:p w14:paraId="709E67D1" w14:textId="3BDF157F" w:rsidR="00F6266C" w:rsidRDefault="00F6266C" w:rsidP="00B95995">
    <w:pPr>
      <w:pStyle w:val="Bodyfooter"/>
    </w:pPr>
    <w:r>
      <w:t>Resource ID:</w:t>
    </w:r>
    <w:r w:rsidR="004E7517">
      <w:t xml:space="preserve"> MRS_18_14_</w:t>
    </w:r>
    <w:r w:rsidR="004E7517">
      <w:rPr>
        <w:noProof/>
      </w:rPr>
      <w:t>Cl_Design Cabinets_UAG</w:t>
    </w:r>
  </w:p>
  <w:p w14:paraId="1F092E16" w14:textId="4DAE0D02" w:rsidR="00F6266C" w:rsidRPr="00F6266C" w:rsidRDefault="00721254" w:rsidP="00721254">
    <w:pPr>
      <w:tabs>
        <w:tab w:val="clear" w:pos="284"/>
      </w:tabs>
      <w:autoSpaceDE w:val="0"/>
      <w:autoSpaceDN w:val="0"/>
      <w:spacing w:before="0" w:after="0" w:line="240" w:lineRule="auto"/>
      <w:jc w:val="center"/>
      <w:rPr>
        <w:rFonts w:eastAsia="Times New Roman"/>
        <w:b/>
        <w:i/>
        <w:sz w:val="16"/>
        <w:szCs w:val="16"/>
        <w:lang w:eastAsia="en-AU"/>
      </w:rPr>
    </w:pPr>
    <w:r w:rsidRPr="00721254">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sidR="003E52CD">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84921" w14:textId="5A3C0935" w:rsidR="00AA3155" w:rsidRPr="008D467A" w:rsidRDefault="00AA3155"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sidR="009F19B3">
      <w:rPr>
        <w:noProof/>
      </w:rPr>
      <w:fldChar w:fldCharType="begin"/>
    </w:r>
    <w:r w:rsidR="009F19B3">
      <w:rPr>
        <w:noProof/>
      </w:rPr>
      <w:instrText xml:space="preserve"> NUMPAGES  \* Arabic  \* MERGEFORMAT </w:instrText>
    </w:r>
    <w:r w:rsidR="009F19B3">
      <w:rPr>
        <w:noProof/>
      </w:rPr>
      <w:fldChar w:fldCharType="separate"/>
    </w:r>
    <w:r w:rsidR="00FB5613">
      <w:rPr>
        <w:noProof/>
      </w:rPr>
      <w:t>5</w:t>
    </w:r>
    <w:r w:rsidR="009F19B3">
      <w:rPr>
        <w:noProof/>
      </w:rPr>
      <w:fldChar w:fldCharType="end"/>
    </w:r>
  </w:p>
  <w:p w14:paraId="46DA5CBE" w14:textId="56D0845F" w:rsidR="00AA3155" w:rsidRPr="008948B1" w:rsidRDefault="00AA3155" w:rsidP="00B95995">
    <w:pPr>
      <w:pStyle w:val="Bodyfooter"/>
    </w:pPr>
    <w:r w:rsidRPr="008D467A">
      <w:t>Disclaimer:  Printed copies of this document are regarded as uncontrolled.</w:t>
    </w:r>
    <w:r>
      <w:t xml:space="preserve"> </w:t>
    </w:r>
    <w:r w:rsidRPr="008D467A">
      <w:t>Please check to ensure this is the latest version.</w:t>
    </w:r>
  </w:p>
  <w:p w14:paraId="4224B220" w14:textId="77777777" w:rsidR="00CC4677" w:rsidRPr="00AA3155" w:rsidRDefault="00CC4677" w:rsidP="00EE3A11">
    <w:pPr>
      <w:pStyle w:val="Footer"/>
    </w:pPr>
  </w:p>
  <w:p w14:paraId="14D24BF2" w14:textId="77777777" w:rsidR="00BA0812" w:rsidRDefault="00BA081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86911" w14:textId="77777777" w:rsidR="00395EAA" w:rsidRDefault="00395EAA" w:rsidP="00EE3A11">
      <w:r>
        <w:separator/>
      </w:r>
    </w:p>
    <w:p w14:paraId="1B7397AE" w14:textId="77777777" w:rsidR="00395EAA" w:rsidRDefault="00395EAA" w:rsidP="00EE3A11"/>
  </w:footnote>
  <w:footnote w:type="continuationSeparator" w:id="0">
    <w:p w14:paraId="49A68E89" w14:textId="77777777" w:rsidR="00395EAA" w:rsidRDefault="00395EAA" w:rsidP="00EE3A11">
      <w:r>
        <w:continuationSeparator/>
      </w:r>
    </w:p>
    <w:p w14:paraId="15B704F3" w14:textId="77777777" w:rsidR="00395EAA" w:rsidRDefault="00395EAA" w:rsidP="00EE3A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0D985" w14:textId="30805C56" w:rsidR="00CC4677" w:rsidRDefault="00CC4677" w:rsidP="00EE3A11"/>
  <w:p w14:paraId="5275A94B" w14:textId="77777777" w:rsidR="00BA0812" w:rsidRDefault="00BA081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7B91" w14:textId="47632110" w:rsidR="00BA0812" w:rsidRDefault="00CC4677" w:rsidP="00EE3A11">
    <w:pPr>
      <w:pStyle w:val="Header-SectionTitle"/>
    </w:pPr>
    <w:r>
      <w:rPr>
        <w:noProof/>
        <w:lang w:eastAsia="en-AU"/>
      </w:rPr>
      <w:tab/>
    </w:r>
    <w:r w:rsidR="00AA3155">
      <w:rPr>
        <w:noProof/>
        <w:lang w:eastAsia="en-AU"/>
      </w:rPr>
      <w:drawing>
        <wp:inline distT="0" distB="0" distL="0" distR="0" wp14:anchorId="7855ABC7" wp14:editId="6C4E1E8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2C3FB" w14:textId="64266868" w:rsidR="004238CB" w:rsidRDefault="004238CB" w:rsidP="00EE3A11">
    <w:pPr>
      <w:pStyle w:val="Header"/>
    </w:pPr>
  </w:p>
  <w:p w14:paraId="7CE569BE" w14:textId="77777777" w:rsidR="00BA0812" w:rsidRDefault="00BA081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44A4D8E2">
      <w:start w:val="1"/>
      <w:numFmt w:val="bullet"/>
      <w:pStyle w:val="Bulletlis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9AECD03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1BA194C"/>
    <w:multiLevelType w:val="hybridMultilevel"/>
    <w:tmpl w:val="70EEFE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63F0183"/>
    <w:multiLevelType w:val="hybridMultilevel"/>
    <w:tmpl w:val="3AE60CF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A2A5519"/>
    <w:multiLevelType w:val="hybridMultilevel"/>
    <w:tmpl w:val="87C4F196"/>
    <w:lvl w:ilvl="0" w:tplc="B6B00AFE">
      <w:start w:val="1"/>
      <w:numFmt w:val="decimal"/>
      <w:lvlText w:val="%1."/>
      <w:lvlJc w:val="left"/>
      <w:pPr>
        <w:ind w:left="720" w:hanging="360"/>
      </w:pPr>
      <w:rPr>
        <w:rFonts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BB615FA"/>
    <w:multiLevelType w:val="hybridMultilevel"/>
    <w:tmpl w:val="F2DA347E"/>
    <w:lvl w:ilvl="0" w:tplc="29E236AA">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9AECD03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EF25070"/>
    <w:multiLevelType w:val="hybridMultilevel"/>
    <w:tmpl w:val="50AC253E"/>
    <w:lvl w:ilvl="0" w:tplc="0C09000F">
      <w:start w:val="1"/>
      <w:numFmt w:val="decimal"/>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3" w15:restartNumberingAfterBreak="0">
    <w:nsid w:val="4F7570DD"/>
    <w:multiLevelType w:val="hybridMultilevel"/>
    <w:tmpl w:val="4EB4D5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20F509A"/>
    <w:multiLevelType w:val="hybridMultilevel"/>
    <w:tmpl w:val="84727A1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527402EE"/>
    <w:multiLevelType w:val="hybridMultilevel"/>
    <w:tmpl w:val="118442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8E21F97"/>
    <w:multiLevelType w:val="hybridMultilevel"/>
    <w:tmpl w:val="85860B80"/>
    <w:lvl w:ilvl="0" w:tplc="659C6920">
      <w:start w:val="1"/>
      <w:numFmt w:val="decimal"/>
      <w:lvlText w:val="%1."/>
      <w:lvlJc w:val="left"/>
      <w:pPr>
        <w:ind w:left="720" w:hanging="360"/>
      </w:pPr>
      <w:rPr>
        <w:rFonts w:hint="default"/>
        <w:i/>
        <w:color w:val="808080" w:themeColor="background1" w:themeShade="8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B354E3A"/>
    <w:multiLevelType w:val="hybridMultilevel"/>
    <w:tmpl w:val="B63A4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DF67775"/>
    <w:multiLevelType w:val="hybridMultilevel"/>
    <w:tmpl w:val="399EC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B85EF0"/>
    <w:multiLevelType w:val="hybridMultilevel"/>
    <w:tmpl w:val="CD6C1E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167E9D"/>
    <w:multiLevelType w:val="hybridMultilevel"/>
    <w:tmpl w:val="F17A9A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66AE6133"/>
    <w:multiLevelType w:val="hybridMultilevel"/>
    <w:tmpl w:val="6D84E2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C320FDB"/>
    <w:multiLevelType w:val="hybridMultilevel"/>
    <w:tmpl w:val="CA7CB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19B1A58"/>
    <w:multiLevelType w:val="hybridMultilevel"/>
    <w:tmpl w:val="CA1AC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FA7750D"/>
    <w:multiLevelType w:val="hybridMultilevel"/>
    <w:tmpl w:val="7E7A8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13"/>
  </w:num>
  <w:num w:numId="5">
    <w:abstractNumId w:val="4"/>
  </w:num>
  <w:num w:numId="6">
    <w:abstractNumId w:val="33"/>
  </w:num>
  <w:num w:numId="7">
    <w:abstractNumId w:val="35"/>
  </w:num>
  <w:num w:numId="8">
    <w:abstractNumId w:val="6"/>
  </w:num>
  <w:num w:numId="9">
    <w:abstractNumId w:val="25"/>
  </w:num>
  <w:num w:numId="10">
    <w:abstractNumId w:val="26"/>
  </w:num>
  <w:num w:numId="11">
    <w:abstractNumId w:val="19"/>
  </w:num>
  <w:num w:numId="12">
    <w:abstractNumId w:val="21"/>
  </w:num>
  <w:num w:numId="13">
    <w:abstractNumId w:val="20"/>
  </w:num>
  <w:num w:numId="14">
    <w:abstractNumId w:val="32"/>
  </w:num>
  <w:num w:numId="15">
    <w:abstractNumId w:val="27"/>
  </w:num>
  <w:num w:numId="16">
    <w:abstractNumId w:val="14"/>
  </w:num>
  <w:num w:numId="17">
    <w:abstractNumId w:val="8"/>
  </w:num>
  <w:num w:numId="18">
    <w:abstractNumId w:val="0"/>
  </w:num>
  <w:num w:numId="19">
    <w:abstractNumId w:val="11"/>
  </w:num>
  <w:num w:numId="20">
    <w:abstractNumId w:val="34"/>
  </w:num>
  <w:num w:numId="21">
    <w:abstractNumId w:val="31"/>
  </w:num>
  <w:num w:numId="22">
    <w:abstractNumId w:val="36"/>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16"/>
  </w:num>
  <w:num w:numId="27">
    <w:abstractNumId w:val="2"/>
  </w:num>
  <w:num w:numId="28">
    <w:abstractNumId w:val="15"/>
  </w:num>
  <w:num w:numId="29">
    <w:abstractNumId w:val="17"/>
  </w:num>
  <w:num w:numId="30">
    <w:abstractNumId w:val="5"/>
  </w:num>
  <w:num w:numId="31">
    <w:abstractNumId w:val="23"/>
  </w:num>
  <w:num w:numId="32">
    <w:abstractNumId w:val="29"/>
  </w:num>
  <w:num w:numId="33">
    <w:abstractNumId w:val="1"/>
  </w:num>
  <w:num w:numId="34">
    <w:abstractNumId w:val="7"/>
  </w:num>
  <w:num w:numId="35">
    <w:abstractNumId w:val="28"/>
  </w:num>
  <w:num w:numId="36">
    <w:abstractNumId w:val="30"/>
  </w:num>
  <w:num w:numId="37">
    <w:abstractNumId w:val="9"/>
  </w:num>
  <w:num w:numId="38">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0A"/>
    <w:rsid w:val="00001772"/>
    <w:rsid w:val="00003F7E"/>
    <w:rsid w:val="000068E6"/>
    <w:rsid w:val="000120CF"/>
    <w:rsid w:val="00012605"/>
    <w:rsid w:val="0001488B"/>
    <w:rsid w:val="0002323C"/>
    <w:rsid w:val="00024A06"/>
    <w:rsid w:val="000345D7"/>
    <w:rsid w:val="000533A7"/>
    <w:rsid w:val="000605B8"/>
    <w:rsid w:val="00060CC5"/>
    <w:rsid w:val="00063680"/>
    <w:rsid w:val="00064BF3"/>
    <w:rsid w:val="00074B39"/>
    <w:rsid w:val="000773EC"/>
    <w:rsid w:val="00083062"/>
    <w:rsid w:val="00084567"/>
    <w:rsid w:val="00085C24"/>
    <w:rsid w:val="00091C02"/>
    <w:rsid w:val="0009535C"/>
    <w:rsid w:val="000953D5"/>
    <w:rsid w:val="000976EE"/>
    <w:rsid w:val="00097CA1"/>
    <w:rsid w:val="000A11A3"/>
    <w:rsid w:val="000A340D"/>
    <w:rsid w:val="000A3CDF"/>
    <w:rsid w:val="000A4E83"/>
    <w:rsid w:val="000A4F09"/>
    <w:rsid w:val="000A4F32"/>
    <w:rsid w:val="000A60F5"/>
    <w:rsid w:val="000B14FD"/>
    <w:rsid w:val="000B179F"/>
    <w:rsid w:val="000C2985"/>
    <w:rsid w:val="000D074B"/>
    <w:rsid w:val="000E5239"/>
    <w:rsid w:val="000F15A1"/>
    <w:rsid w:val="000F5982"/>
    <w:rsid w:val="000F7198"/>
    <w:rsid w:val="001040FC"/>
    <w:rsid w:val="001055D0"/>
    <w:rsid w:val="0011228E"/>
    <w:rsid w:val="00114A24"/>
    <w:rsid w:val="00125ABE"/>
    <w:rsid w:val="001264EE"/>
    <w:rsid w:val="001301DF"/>
    <w:rsid w:val="0013572C"/>
    <w:rsid w:val="001411B0"/>
    <w:rsid w:val="00143DEB"/>
    <w:rsid w:val="001479FF"/>
    <w:rsid w:val="00152F10"/>
    <w:rsid w:val="001558DD"/>
    <w:rsid w:val="0015747C"/>
    <w:rsid w:val="0015779E"/>
    <w:rsid w:val="0016422F"/>
    <w:rsid w:val="00164F5E"/>
    <w:rsid w:val="00167276"/>
    <w:rsid w:val="00171399"/>
    <w:rsid w:val="00176402"/>
    <w:rsid w:val="0018042E"/>
    <w:rsid w:val="00180BE8"/>
    <w:rsid w:val="00180F80"/>
    <w:rsid w:val="00182D13"/>
    <w:rsid w:val="001843BC"/>
    <w:rsid w:val="0019299C"/>
    <w:rsid w:val="00194222"/>
    <w:rsid w:val="00195D83"/>
    <w:rsid w:val="001A0486"/>
    <w:rsid w:val="001A38C5"/>
    <w:rsid w:val="001B0C35"/>
    <w:rsid w:val="001B2D0D"/>
    <w:rsid w:val="001B6BFC"/>
    <w:rsid w:val="001C3671"/>
    <w:rsid w:val="001C6AD8"/>
    <w:rsid w:val="001D405E"/>
    <w:rsid w:val="001D653F"/>
    <w:rsid w:val="001E48F4"/>
    <w:rsid w:val="00200E96"/>
    <w:rsid w:val="00204B65"/>
    <w:rsid w:val="002067A7"/>
    <w:rsid w:val="00214286"/>
    <w:rsid w:val="00223807"/>
    <w:rsid w:val="00225312"/>
    <w:rsid w:val="0023031D"/>
    <w:rsid w:val="002303B8"/>
    <w:rsid w:val="00230450"/>
    <w:rsid w:val="00243E8B"/>
    <w:rsid w:val="00247F4B"/>
    <w:rsid w:val="0025156C"/>
    <w:rsid w:val="00254FC7"/>
    <w:rsid w:val="00261C48"/>
    <w:rsid w:val="0026377F"/>
    <w:rsid w:val="00263F16"/>
    <w:rsid w:val="002644DD"/>
    <w:rsid w:val="0026687F"/>
    <w:rsid w:val="0027689F"/>
    <w:rsid w:val="002770ED"/>
    <w:rsid w:val="00287388"/>
    <w:rsid w:val="00291A31"/>
    <w:rsid w:val="0029236B"/>
    <w:rsid w:val="00293D3F"/>
    <w:rsid w:val="0029595B"/>
    <w:rsid w:val="00297D1A"/>
    <w:rsid w:val="002A5D07"/>
    <w:rsid w:val="002A6286"/>
    <w:rsid w:val="002A6839"/>
    <w:rsid w:val="002C4E04"/>
    <w:rsid w:val="002C501C"/>
    <w:rsid w:val="002C6FA4"/>
    <w:rsid w:val="002C7CD5"/>
    <w:rsid w:val="002D1CAF"/>
    <w:rsid w:val="002D2547"/>
    <w:rsid w:val="002E6942"/>
    <w:rsid w:val="002F4559"/>
    <w:rsid w:val="002F4D63"/>
    <w:rsid w:val="002F7F93"/>
    <w:rsid w:val="003077C4"/>
    <w:rsid w:val="00307A93"/>
    <w:rsid w:val="003127E4"/>
    <w:rsid w:val="003132FD"/>
    <w:rsid w:val="003224A8"/>
    <w:rsid w:val="00322EF1"/>
    <w:rsid w:val="00326D08"/>
    <w:rsid w:val="00333854"/>
    <w:rsid w:val="003441EE"/>
    <w:rsid w:val="003767C8"/>
    <w:rsid w:val="003926C7"/>
    <w:rsid w:val="00393D00"/>
    <w:rsid w:val="00395EAA"/>
    <w:rsid w:val="003B63FF"/>
    <w:rsid w:val="003C0972"/>
    <w:rsid w:val="003C61DE"/>
    <w:rsid w:val="003C7843"/>
    <w:rsid w:val="003D3CA3"/>
    <w:rsid w:val="003E52CD"/>
    <w:rsid w:val="003E55C2"/>
    <w:rsid w:val="003E6295"/>
    <w:rsid w:val="003E798C"/>
    <w:rsid w:val="003F538D"/>
    <w:rsid w:val="003F736A"/>
    <w:rsid w:val="0040086F"/>
    <w:rsid w:val="00407C23"/>
    <w:rsid w:val="00413C95"/>
    <w:rsid w:val="0041692A"/>
    <w:rsid w:val="004238CB"/>
    <w:rsid w:val="00423D70"/>
    <w:rsid w:val="00425542"/>
    <w:rsid w:val="00447158"/>
    <w:rsid w:val="00452C97"/>
    <w:rsid w:val="00454FB7"/>
    <w:rsid w:val="00457D20"/>
    <w:rsid w:val="00475FDD"/>
    <w:rsid w:val="00477518"/>
    <w:rsid w:val="00494A2B"/>
    <w:rsid w:val="00494D52"/>
    <w:rsid w:val="004A0054"/>
    <w:rsid w:val="004A077E"/>
    <w:rsid w:val="004A2599"/>
    <w:rsid w:val="004A4854"/>
    <w:rsid w:val="004B3CD3"/>
    <w:rsid w:val="004B64B7"/>
    <w:rsid w:val="004C0DC5"/>
    <w:rsid w:val="004C0DE3"/>
    <w:rsid w:val="004C30D1"/>
    <w:rsid w:val="004D1013"/>
    <w:rsid w:val="004D2CA6"/>
    <w:rsid w:val="004E7517"/>
    <w:rsid w:val="004F0644"/>
    <w:rsid w:val="004F1663"/>
    <w:rsid w:val="004F6959"/>
    <w:rsid w:val="0050408C"/>
    <w:rsid w:val="00506619"/>
    <w:rsid w:val="0051262A"/>
    <w:rsid w:val="00513706"/>
    <w:rsid w:val="00517079"/>
    <w:rsid w:val="00521DA6"/>
    <w:rsid w:val="00530092"/>
    <w:rsid w:val="005319C2"/>
    <w:rsid w:val="00544FED"/>
    <w:rsid w:val="00563F2B"/>
    <w:rsid w:val="00565227"/>
    <w:rsid w:val="00565A11"/>
    <w:rsid w:val="0057053E"/>
    <w:rsid w:val="005948A0"/>
    <w:rsid w:val="0059669B"/>
    <w:rsid w:val="005975C2"/>
    <w:rsid w:val="005A22AC"/>
    <w:rsid w:val="005A2FFA"/>
    <w:rsid w:val="005A33C4"/>
    <w:rsid w:val="005B4246"/>
    <w:rsid w:val="005B51AF"/>
    <w:rsid w:val="005C5DA1"/>
    <w:rsid w:val="005D1215"/>
    <w:rsid w:val="005D268B"/>
    <w:rsid w:val="005D3BDD"/>
    <w:rsid w:val="005D43E9"/>
    <w:rsid w:val="005E0268"/>
    <w:rsid w:val="005F0730"/>
    <w:rsid w:val="00601DBD"/>
    <w:rsid w:val="00610BCF"/>
    <w:rsid w:val="0061253B"/>
    <w:rsid w:val="00623781"/>
    <w:rsid w:val="00637C17"/>
    <w:rsid w:val="00645E36"/>
    <w:rsid w:val="006523E1"/>
    <w:rsid w:val="0065672E"/>
    <w:rsid w:val="00660D69"/>
    <w:rsid w:val="00662576"/>
    <w:rsid w:val="00664079"/>
    <w:rsid w:val="00664DFC"/>
    <w:rsid w:val="00682A05"/>
    <w:rsid w:val="006862CE"/>
    <w:rsid w:val="00691E4B"/>
    <w:rsid w:val="00694848"/>
    <w:rsid w:val="00695838"/>
    <w:rsid w:val="00696B59"/>
    <w:rsid w:val="006A0DC9"/>
    <w:rsid w:val="006A4C07"/>
    <w:rsid w:val="006B36F7"/>
    <w:rsid w:val="006C5F0A"/>
    <w:rsid w:val="006D1415"/>
    <w:rsid w:val="006E25B8"/>
    <w:rsid w:val="006E4C39"/>
    <w:rsid w:val="006E70F9"/>
    <w:rsid w:val="006F02DF"/>
    <w:rsid w:val="006F2F77"/>
    <w:rsid w:val="006F7613"/>
    <w:rsid w:val="007011D1"/>
    <w:rsid w:val="00703BF8"/>
    <w:rsid w:val="00704070"/>
    <w:rsid w:val="007103F5"/>
    <w:rsid w:val="00713C9A"/>
    <w:rsid w:val="00713E92"/>
    <w:rsid w:val="00721254"/>
    <w:rsid w:val="00722307"/>
    <w:rsid w:val="00723C95"/>
    <w:rsid w:val="0073312B"/>
    <w:rsid w:val="00735668"/>
    <w:rsid w:val="00757252"/>
    <w:rsid w:val="007605FA"/>
    <w:rsid w:val="00761A9A"/>
    <w:rsid w:val="00761BD8"/>
    <w:rsid w:val="00765A60"/>
    <w:rsid w:val="00766832"/>
    <w:rsid w:val="00767C20"/>
    <w:rsid w:val="0077599D"/>
    <w:rsid w:val="00786B06"/>
    <w:rsid w:val="00786D53"/>
    <w:rsid w:val="00792BB9"/>
    <w:rsid w:val="007A6B4A"/>
    <w:rsid w:val="007A7615"/>
    <w:rsid w:val="007B10F4"/>
    <w:rsid w:val="007B420B"/>
    <w:rsid w:val="007B6EB2"/>
    <w:rsid w:val="007D28BE"/>
    <w:rsid w:val="007D40AA"/>
    <w:rsid w:val="007D56FA"/>
    <w:rsid w:val="007D5E2B"/>
    <w:rsid w:val="007D6B2A"/>
    <w:rsid w:val="007E018E"/>
    <w:rsid w:val="007F1901"/>
    <w:rsid w:val="0081496E"/>
    <w:rsid w:val="00827436"/>
    <w:rsid w:val="0082790D"/>
    <w:rsid w:val="008339E8"/>
    <w:rsid w:val="008351BC"/>
    <w:rsid w:val="00840418"/>
    <w:rsid w:val="00841239"/>
    <w:rsid w:val="00850C1F"/>
    <w:rsid w:val="00851DEA"/>
    <w:rsid w:val="00853B81"/>
    <w:rsid w:val="00863CEE"/>
    <w:rsid w:val="00864021"/>
    <w:rsid w:val="00867768"/>
    <w:rsid w:val="00872CB4"/>
    <w:rsid w:val="008837AA"/>
    <w:rsid w:val="00886864"/>
    <w:rsid w:val="0089381D"/>
    <w:rsid w:val="008948B1"/>
    <w:rsid w:val="008A1BF8"/>
    <w:rsid w:val="008A4470"/>
    <w:rsid w:val="008A4500"/>
    <w:rsid w:val="008A5B08"/>
    <w:rsid w:val="008A679F"/>
    <w:rsid w:val="008A6997"/>
    <w:rsid w:val="008A769F"/>
    <w:rsid w:val="008B3F49"/>
    <w:rsid w:val="008B429E"/>
    <w:rsid w:val="008E161B"/>
    <w:rsid w:val="008E20F3"/>
    <w:rsid w:val="008E25B3"/>
    <w:rsid w:val="008F3E0C"/>
    <w:rsid w:val="008F6145"/>
    <w:rsid w:val="00900122"/>
    <w:rsid w:val="00901984"/>
    <w:rsid w:val="00903223"/>
    <w:rsid w:val="0090704D"/>
    <w:rsid w:val="00907709"/>
    <w:rsid w:val="00914C64"/>
    <w:rsid w:val="00921DCE"/>
    <w:rsid w:val="00922952"/>
    <w:rsid w:val="009234A3"/>
    <w:rsid w:val="009238B3"/>
    <w:rsid w:val="0092433D"/>
    <w:rsid w:val="00924E70"/>
    <w:rsid w:val="00926168"/>
    <w:rsid w:val="00927086"/>
    <w:rsid w:val="00933C8C"/>
    <w:rsid w:val="00943001"/>
    <w:rsid w:val="00943948"/>
    <w:rsid w:val="0095011A"/>
    <w:rsid w:val="0095090A"/>
    <w:rsid w:val="009540E1"/>
    <w:rsid w:val="00954C78"/>
    <w:rsid w:val="00957DA0"/>
    <w:rsid w:val="00971223"/>
    <w:rsid w:val="009733C0"/>
    <w:rsid w:val="00983E69"/>
    <w:rsid w:val="00987D2F"/>
    <w:rsid w:val="00992EED"/>
    <w:rsid w:val="00993A2B"/>
    <w:rsid w:val="00993DFE"/>
    <w:rsid w:val="00994034"/>
    <w:rsid w:val="00996C34"/>
    <w:rsid w:val="009A0ED8"/>
    <w:rsid w:val="009A2961"/>
    <w:rsid w:val="009A4A68"/>
    <w:rsid w:val="009A55AA"/>
    <w:rsid w:val="009A7983"/>
    <w:rsid w:val="009B4002"/>
    <w:rsid w:val="009B4B1E"/>
    <w:rsid w:val="009B68DE"/>
    <w:rsid w:val="009C3C79"/>
    <w:rsid w:val="009D2C6A"/>
    <w:rsid w:val="009D4F41"/>
    <w:rsid w:val="009D757C"/>
    <w:rsid w:val="009F19B3"/>
    <w:rsid w:val="009F2D64"/>
    <w:rsid w:val="009F303B"/>
    <w:rsid w:val="009F76D0"/>
    <w:rsid w:val="00A0739D"/>
    <w:rsid w:val="00A1105F"/>
    <w:rsid w:val="00A20344"/>
    <w:rsid w:val="00A247B7"/>
    <w:rsid w:val="00A305EB"/>
    <w:rsid w:val="00A3522D"/>
    <w:rsid w:val="00A36A6D"/>
    <w:rsid w:val="00A42A11"/>
    <w:rsid w:val="00A4365D"/>
    <w:rsid w:val="00A50545"/>
    <w:rsid w:val="00A52A37"/>
    <w:rsid w:val="00A55BC0"/>
    <w:rsid w:val="00A577D5"/>
    <w:rsid w:val="00A654DC"/>
    <w:rsid w:val="00A6672C"/>
    <w:rsid w:val="00A713A8"/>
    <w:rsid w:val="00A75F20"/>
    <w:rsid w:val="00A80B72"/>
    <w:rsid w:val="00A845AB"/>
    <w:rsid w:val="00A848C5"/>
    <w:rsid w:val="00A86F85"/>
    <w:rsid w:val="00A90289"/>
    <w:rsid w:val="00A9459E"/>
    <w:rsid w:val="00AA3155"/>
    <w:rsid w:val="00AA6867"/>
    <w:rsid w:val="00AC0C84"/>
    <w:rsid w:val="00AC4DDB"/>
    <w:rsid w:val="00AC6A49"/>
    <w:rsid w:val="00AD6C67"/>
    <w:rsid w:val="00AE60F8"/>
    <w:rsid w:val="00AE6676"/>
    <w:rsid w:val="00AF0AA2"/>
    <w:rsid w:val="00AF1525"/>
    <w:rsid w:val="00AF7F7F"/>
    <w:rsid w:val="00B044BE"/>
    <w:rsid w:val="00B07F4D"/>
    <w:rsid w:val="00B1735C"/>
    <w:rsid w:val="00B36FB7"/>
    <w:rsid w:val="00B37DBF"/>
    <w:rsid w:val="00B450B8"/>
    <w:rsid w:val="00B506AF"/>
    <w:rsid w:val="00B538AD"/>
    <w:rsid w:val="00B678B6"/>
    <w:rsid w:val="00B71A2C"/>
    <w:rsid w:val="00B9442B"/>
    <w:rsid w:val="00B956C1"/>
    <w:rsid w:val="00B95995"/>
    <w:rsid w:val="00B96CBE"/>
    <w:rsid w:val="00BA0812"/>
    <w:rsid w:val="00BA116A"/>
    <w:rsid w:val="00BA1D72"/>
    <w:rsid w:val="00BB30CD"/>
    <w:rsid w:val="00BB505F"/>
    <w:rsid w:val="00BC0FFD"/>
    <w:rsid w:val="00BD2AD8"/>
    <w:rsid w:val="00BD6F4D"/>
    <w:rsid w:val="00BE24BB"/>
    <w:rsid w:val="00BE4771"/>
    <w:rsid w:val="00BF3524"/>
    <w:rsid w:val="00BF7BA3"/>
    <w:rsid w:val="00C0158B"/>
    <w:rsid w:val="00C020CE"/>
    <w:rsid w:val="00C03F55"/>
    <w:rsid w:val="00C12AFB"/>
    <w:rsid w:val="00C355AA"/>
    <w:rsid w:val="00C3634B"/>
    <w:rsid w:val="00C36B36"/>
    <w:rsid w:val="00C37CA1"/>
    <w:rsid w:val="00C43C25"/>
    <w:rsid w:val="00C47CBB"/>
    <w:rsid w:val="00C47EDE"/>
    <w:rsid w:val="00C5057F"/>
    <w:rsid w:val="00C51068"/>
    <w:rsid w:val="00C66762"/>
    <w:rsid w:val="00C74DE5"/>
    <w:rsid w:val="00C775A9"/>
    <w:rsid w:val="00C808E4"/>
    <w:rsid w:val="00C80EC4"/>
    <w:rsid w:val="00CA1057"/>
    <w:rsid w:val="00CC4548"/>
    <w:rsid w:val="00CC4677"/>
    <w:rsid w:val="00CC5867"/>
    <w:rsid w:val="00CC65E1"/>
    <w:rsid w:val="00CD2841"/>
    <w:rsid w:val="00CD30F1"/>
    <w:rsid w:val="00CD567D"/>
    <w:rsid w:val="00CD5ECD"/>
    <w:rsid w:val="00CD671D"/>
    <w:rsid w:val="00CE7670"/>
    <w:rsid w:val="00D0032D"/>
    <w:rsid w:val="00D13767"/>
    <w:rsid w:val="00D14C3C"/>
    <w:rsid w:val="00D16305"/>
    <w:rsid w:val="00D173C0"/>
    <w:rsid w:val="00D2274D"/>
    <w:rsid w:val="00D230E6"/>
    <w:rsid w:val="00D30FED"/>
    <w:rsid w:val="00D32B0B"/>
    <w:rsid w:val="00D4289B"/>
    <w:rsid w:val="00D469FC"/>
    <w:rsid w:val="00D47148"/>
    <w:rsid w:val="00D52097"/>
    <w:rsid w:val="00D57AA9"/>
    <w:rsid w:val="00D601B3"/>
    <w:rsid w:val="00D61C8F"/>
    <w:rsid w:val="00D63D05"/>
    <w:rsid w:val="00D73C7D"/>
    <w:rsid w:val="00D7688F"/>
    <w:rsid w:val="00D8232C"/>
    <w:rsid w:val="00D82F4D"/>
    <w:rsid w:val="00D85073"/>
    <w:rsid w:val="00D86E90"/>
    <w:rsid w:val="00D87E55"/>
    <w:rsid w:val="00D91FD7"/>
    <w:rsid w:val="00D9210D"/>
    <w:rsid w:val="00D92D2E"/>
    <w:rsid w:val="00D92FA7"/>
    <w:rsid w:val="00D94F80"/>
    <w:rsid w:val="00D97AC3"/>
    <w:rsid w:val="00DA2486"/>
    <w:rsid w:val="00DA591E"/>
    <w:rsid w:val="00DA65A7"/>
    <w:rsid w:val="00DB75CF"/>
    <w:rsid w:val="00DC4854"/>
    <w:rsid w:val="00DC7DC4"/>
    <w:rsid w:val="00DD0BBE"/>
    <w:rsid w:val="00DD5D6C"/>
    <w:rsid w:val="00DE0D1B"/>
    <w:rsid w:val="00DF2AB9"/>
    <w:rsid w:val="00E0424A"/>
    <w:rsid w:val="00E04976"/>
    <w:rsid w:val="00E058B0"/>
    <w:rsid w:val="00E07142"/>
    <w:rsid w:val="00E12115"/>
    <w:rsid w:val="00E12AA6"/>
    <w:rsid w:val="00E20949"/>
    <w:rsid w:val="00E23A6F"/>
    <w:rsid w:val="00E27DFD"/>
    <w:rsid w:val="00E35191"/>
    <w:rsid w:val="00E45188"/>
    <w:rsid w:val="00E46AD2"/>
    <w:rsid w:val="00E50600"/>
    <w:rsid w:val="00E548EC"/>
    <w:rsid w:val="00E55C2E"/>
    <w:rsid w:val="00E60CB0"/>
    <w:rsid w:val="00E618E7"/>
    <w:rsid w:val="00E623D1"/>
    <w:rsid w:val="00E6505F"/>
    <w:rsid w:val="00E66E91"/>
    <w:rsid w:val="00E774D5"/>
    <w:rsid w:val="00E77DE6"/>
    <w:rsid w:val="00E81811"/>
    <w:rsid w:val="00E8225E"/>
    <w:rsid w:val="00E82BA0"/>
    <w:rsid w:val="00E86526"/>
    <w:rsid w:val="00E865EB"/>
    <w:rsid w:val="00E951BD"/>
    <w:rsid w:val="00E96CC2"/>
    <w:rsid w:val="00EA3BA7"/>
    <w:rsid w:val="00EA68F5"/>
    <w:rsid w:val="00EA772A"/>
    <w:rsid w:val="00EB6D5D"/>
    <w:rsid w:val="00EC06F4"/>
    <w:rsid w:val="00EC0B91"/>
    <w:rsid w:val="00EC5433"/>
    <w:rsid w:val="00EC624B"/>
    <w:rsid w:val="00EC6ED2"/>
    <w:rsid w:val="00ED7279"/>
    <w:rsid w:val="00EE1BBA"/>
    <w:rsid w:val="00EE2256"/>
    <w:rsid w:val="00EE3A11"/>
    <w:rsid w:val="00EF21D7"/>
    <w:rsid w:val="00EF33FC"/>
    <w:rsid w:val="00F029E0"/>
    <w:rsid w:val="00F0486D"/>
    <w:rsid w:val="00F07639"/>
    <w:rsid w:val="00F10908"/>
    <w:rsid w:val="00F2128A"/>
    <w:rsid w:val="00F23C17"/>
    <w:rsid w:val="00F2537C"/>
    <w:rsid w:val="00F31331"/>
    <w:rsid w:val="00F3590F"/>
    <w:rsid w:val="00F37D27"/>
    <w:rsid w:val="00F44CAE"/>
    <w:rsid w:val="00F509F8"/>
    <w:rsid w:val="00F54E2D"/>
    <w:rsid w:val="00F5598B"/>
    <w:rsid w:val="00F56F93"/>
    <w:rsid w:val="00F577E0"/>
    <w:rsid w:val="00F6266C"/>
    <w:rsid w:val="00F647C0"/>
    <w:rsid w:val="00F662B3"/>
    <w:rsid w:val="00F6786A"/>
    <w:rsid w:val="00F706F0"/>
    <w:rsid w:val="00F731D6"/>
    <w:rsid w:val="00F80B24"/>
    <w:rsid w:val="00F87FCE"/>
    <w:rsid w:val="00F91CF5"/>
    <w:rsid w:val="00F95A55"/>
    <w:rsid w:val="00FA6477"/>
    <w:rsid w:val="00FB4A6F"/>
    <w:rsid w:val="00FB5613"/>
    <w:rsid w:val="00FC48B2"/>
    <w:rsid w:val="00FC4B52"/>
    <w:rsid w:val="00FC5245"/>
    <w:rsid w:val="00FC68FE"/>
    <w:rsid w:val="00FE6872"/>
    <w:rsid w:val="00FF0228"/>
    <w:rsid w:val="00FF1B97"/>
    <w:rsid w:val="00FF5701"/>
    <w:rsid w:val="00FF6FB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6D0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styleId="GridTable1Light">
    <w:name w:val="Grid Table 1 Light"/>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styleId="TableGridLight">
    <w:name w:val="Grid Table Light"/>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 w:type="paragraph" w:styleId="NormalWeb">
    <w:name w:val="Normal (Web)"/>
    <w:basedOn w:val="Normal"/>
    <w:uiPriority w:val="99"/>
    <w:semiHidden/>
    <w:unhideWhenUsed/>
    <w:rsid w:val="00F509F8"/>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paragraph" w:styleId="BodyText">
    <w:name w:val="Body Text"/>
    <w:basedOn w:val="Normal"/>
    <w:link w:val="BodyTextChar"/>
    <w:rsid w:val="00FB5613"/>
    <w:pPr>
      <w:keepLines/>
      <w:tabs>
        <w:tab w:val="clear" w:pos="284"/>
      </w:tabs>
      <w:spacing w:line="240" w:lineRule="auto"/>
    </w:pPr>
    <w:rPr>
      <w:rFonts w:ascii="Times New Roman" w:eastAsia="Times New Roman" w:hAnsi="Times New Roman" w:cs="Times New Roman"/>
      <w:szCs w:val="22"/>
    </w:rPr>
  </w:style>
  <w:style w:type="character" w:customStyle="1" w:styleId="BodyTextChar">
    <w:name w:val="Body Text Char"/>
    <w:basedOn w:val="DefaultParagraphFont"/>
    <w:link w:val="BodyText"/>
    <w:rsid w:val="00FB5613"/>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10641">
      <w:bodyDiv w:val="1"/>
      <w:marLeft w:val="0"/>
      <w:marRight w:val="0"/>
      <w:marTop w:val="0"/>
      <w:marBottom w:val="0"/>
      <w:divBdr>
        <w:top w:val="none" w:sz="0" w:space="0" w:color="auto"/>
        <w:left w:val="none" w:sz="0" w:space="0" w:color="auto"/>
        <w:bottom w:val="none" w:sz="0" w:space="0" w:color="auto"/>
        <w:right w:val="none" w:sz="0" w:space="0" w:color="auto"/>
      </w:divBdr>
    </w:div>
    <w:div w:id="115878892">
      <w:bodyDiv w:val="1"/>
      <w:marLeft w:val="0"/>
      <w:marRight w:val="0"/>
      <w:marTop w:val="0"/>
      <w:marBottom w:val="0"/>
      <w:divBdr>
        <w:top w:val="none" w:sz="0" w:space="0" w:color="auto"/>
        <w:left w:val="none" w:sz="0" w:space="0" w:color="auto"/>
        <w:bottom w:val="none" w:sz="0" w:space="0" w:color="auto"/>
        <w:right w:val="none" w:sz="0" w:space="0" w:color="auto"/>
      </w:divBdr>
    </w:div>
    <w:div w:id="1007711255">
      <w:bodyDiv w:val="1"/>
      <w:marLeft w:val="0"/>
      <w:marRight w:val="0"/>
      <w:marTop w:val="0"/>
      <w:marBottom w:val="0"/>
      <w:divBdr>
        <w:top w:val="none" w:sz="0" w:space="0" w:color="auto"/>
        <w:left w:val="none" w:sz="0" w:space="0" w:color="auto"/>
        <w:bottom w:val="none" w:sz="0" w:space="0" w:color="auto"/>
        <w:right w:val="none" w:sz="0" w:space="0" w:color="auto"/>
      </w:divBdr>
    </w:div>
    <w:div w:id="1454982356">
      <w:bodyDiv w:val="1"/>
      <w:marLeft w:val="0"/>
      <w:marRight w:val="0"/>
      <w:marTop w:val="0"/>
      <w:marBottom w:val="0"/>
      <w:divBdr>
        <w:top w:val="none" w:sz="0" w:space="0" w:color="auto"/>
        <w:left w:val="none" w:sz="0" w:space="0" w:color="auto"/>
        <w:bottom w:val="none" w:sz="0" w:space="0" w:color="auto"/>
        <w:right w:val="none" w:sz="0" w:space="0" w:color="auto"/>
      </w:divBdr>
    </w:div>
    <w:div w:id="170695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y.tafensw.edu.a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training.gov.au/Training/Details/MSFKB401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FKB3010" TargetMode="External"/><Relationship Id="rId5" Type="http://schemas.openxmlformats.org/officeDocument/2006/relationships/numbering" Target="numbering.xml"/><Relationship Id="rId15" Type="http://schemas.openxmlformats.org/officeDocument/2006/relationships/hyperlink" Target="https://www.tafensw.edu.au/student-servic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enrol/recognition-credit-transfer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23955-F7FD-4F88-B558-2B7272362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8A16E6E-F427-49F7-9670-5E23419A6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6</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2019-07-26T03:04:00Z</dcterms:created>
  <dcterms:modified xsi:type="dcterms:W3CDTF">2019-12-17T02:36:00Z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